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237A" w14:textId="77777777" w:rsidR="00A836C8" w:rsidRPr="005E0784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D28B198" w14:textId="6FF0574E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 xml:space="preserve">Datum: </w:t>
      </w:r>
      <w:r w:rsidR="001D1128" w:rsidRPr="00B9609D">
        <w:rPr>
          <w:rFonts w:ascii="Tahoma" w:eastAsia="Calibri" w:hAnsi="Tahoma" w:cs="Tahoma"/>
          <w:sz w:val="20"/>
          <w:szCs w:val="20"/>
        </w:rPr>
        <w:t>29</w:t>
      </w:r>
      <w:r w:rsidR="00DB051C" w:rsidRPr="00B9609D">
        <w:rPr>
          <w:rFonts w:ascii="Tahoma" w:eastAsia="Calibri" w:hAnsi="Tahoma" w:cs="Tahoma"/>
          <w:sz w:val="20"/>
          <w:szCs w:val="20"/>
        </w:rPr>
        <w:t>. 6</w:t>
      </w:r>
      <w:r w:rsidRPr="00B9609D">
        <w:rPr>
          <w:rFonts w:ascii="Tahoma" w:eastAsia="Calibri" w:hAnsi="Tahoma" w:cs="Tahoma"/>
          <w:sz w:val="20"/>
          <w:szCs w:val="20"/>
        </w:rPr>
        <w:t>. 2021</w:t>
      </w:r>
    </w:p>
    <w:p w14:paraId="1D320FDA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496ECF2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D0CD615" w14:textId="6C383FE1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9609D">
        <w:rPr>
          <w:rFonts w:ascii="Tahoma" w:eastAsia="Calibri" w:hAnsi="Tahoma" w:cs="Tahoma"/>
          <w:b/>
          <w:sz w:val="20"/>
          <w:szCs w:val="20"/>
        </w:rPr>
        <w:t xml:space="preserve">ZADEVA: </w:t>
      </w:r>
      <w:r w:rsidR="004818D8" w:rsidRPr="00B9609D">
        <w:rPr>
          <w:rFonts w:ascii="Tahoma" w:eastAsia="Calibri" w:hAnsi="Tahoma" w:cs="Tahoma"/>
          <w:b/>
          <w:i/>
          <w:sz w:val="20"/>
          <w:szCs w:val="20"/>
        </w:rPr>
        <w:t xml:space="preserve">Odgovori na vprašanja </w:t>
      </w:r>
      <w:r w:rsidR="002F6FBB" w:rsidRPr="00B9609D">
        <w:rPr>
          <w:rFonts w:ascii="Tahoma" w:eastAsia="Calibri" w:hAnsi="Tahoma" w:cs="Tahoma"/>
          <w:b/>
          <w:i/>
          <w:sz w:val="20"/>
          <w:szCs w:val="20"/>
        </w:rPr>
        <w:t>4</w:t>
      </w:r>
    </w:p>
    <w:p w14:paraId="007DB920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9609D">
        <w:rPr>
          <w:rFonts w:ascii="Tahoma" w:eastAsia="Calibri" w:hAnsi="Tahoma" w:cs="Tahoma"/>
          <w:b/>
          <w:sz w:val="20"/>
          <w:szCs w:val="20"/>
        </w:rPr>
        <w:t xml:space="preserve">ZVEZA: JHL-10/21 </w:t>
      </w:r>
    </w:p>
    <w:p w14:paraId="7233BDC4" w14:textId="77777777" w:rsidR="00A836C8" w:rsidRPr="00B9609D" w:rsidRDefault="00A836C8" w:rsidP="00A836C8">
      <w:pPr>
        <w:spacing w:after="20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03EA6F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Spoštovani,</w:t>
      </w:r>
    </w:p>
    <w:p w14:paraId="1F458ECD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A840638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 xml:space="preserve">s strani gospodarskega/ih subjekta/ov smo prejeli vprašanje/a v zvezi z razpisno dokumentacijo za javno naročilo št. </w:t>
      </w:r>
      <w:r w:rsidRPr="00B9609D">
        <w:rPr>
          <w:rFonts w:ascii="Tahoma" w:eastAsia="Calibri" w:hAnsi="Tahoma" w:cs="Tahoma"/>
          <w:b/>
          <w:bCs/>
          <w:sz w:val="20"/>
          <w:szCs w:val="20"/>
        </w:rPr>
        <w:t>JHL-10/21 »Zagotavljanje konvergenčnih storitev mobilne, IP in fiksne telefonije«</w:t>
      </w:r>
      <w:r w:rsidRPr="00B9609D">
        <w:rPr>
          <w:rFonts w:ascii="Tahoma" w:eastAsia="Calibri" w:hAnsi="Tahoma" w:cs="Tahoma"/>
          <w:sz w:val="20"/>
          <w:szCs w:val="20"/>
        </w:rPr>
        <w:t xml:space="preserve">, zato vam v nadaljevanju posredujemo odgovor/e.   </w:t>
      </w:r>
    </w:p>
    <w:p w14:paraId="45EF7194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DE50F70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 xml:space="preserve">Sestavni del razpisne dokumentacije so tudi vse morebitne spremembe, dopolnitve in popravki razpisne dokumentacije (katere sestavni del je okvirni sporazum), ter pojasnila in odgovori na vprašanja ponudnikov s strani naročnika. Ponudniki naj pri pripravi ponudbe upoštevajo odgovore/pojasnila naročnika.   </w:t>
      </w:r>
    </w:p>
    <w:p w14:paraId="278DF8E8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C929F1F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Lepo pozdravljeni!</w:t>
      </w:r>
    </w:p>
    <w:p w14:paraId="6FEF1CA2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JAVNI HOLDING Ljubljana, d.o.o.</w:t>
      </w:r>
    </w:p>
    <w:p w14:paraId="432A71C8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Sektor za javna naročila</w:t>
      </w:r>
    </w:p>
    <w:p w14:paraId="4E5BD41B" w14:textId="77777777" w:rsidR="00A836C8" w:rsidRPr="00B9609D" w:rsidRDefault="00A836C8" w:rsidP="00A836C8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E4F078" w14:textId="77777777" w:rsidR="00A836C8" w:rsidRPr="00B9609D" w:rsidRDefault="00A836C8" w:rsidP="00A836C8">
      <w:p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</w:p>
    <w:p w14:paraId="70E9EB35" w14:textId="77777777" w:rsidR="00A836C8" w:rsidRPr="00B9609D" w:rsidRDefault="00A836C8" w:rsidP="00A836C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B9609D">
        <w:rPr>
          <w:rFonts w:ascii="Tahoma" w:eastAsia="Calibri" w:hAnsi="Tahoma" w:cs="Tahoma"/>
          <w:b/>
          <w:color w:val="000000"/>
          <w:sz w:val="20"/>
          <w:szCs w:val="20"/>
        </w:rPr>
        <w:t xml:space="preserve">VPRAŠANJE </w:t>
      </w:r>
    </w:p>
    <w:p w14:paraId="58F13242" w14:textId="77777777" w:rsidR="00A836C8" w:rsidRPr="00B9609D" w:rsidRDefault="008C080A" w:rsidP="00A836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9609D">
        <w:rPr>
          <w:rFonts w:ascii="Tahoma" w:eastAsia="Calibri" w:hAnsi="Tahoma" w:cs="Tahoma"/>
          <w:b/>
          <w:sz w:val="20"/>
          <w:szCs w:val="20"/>
        </w:rPr>
        <w:t>Datum prejema: 23.06.2021   08:27</w:t>
      </w:r>
    </w:p>
    <w:p w14:paraId="3821FE4B" w14:textId="77777777" w:rsidR="00B71F1B" w:rsidRPr="00B9609D" w:rsidRDefault="00B71F1B" w:rsidP="00B71F1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Točka 1.8 razpisne dokumentacije:</w:t>
      </w:r>
    </w:p>
    <w:p w14:paraId="0B2567CE" w14:textId="77777777" w:rsidR="00B71F1B" w:rsidRPr="00B9609D" w:rsidRDefault="00B71F1B" w:rsidP="00B71F1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Strošek mora vključevati strošek menjave operaterja oz. prenosa telefonskih številk. Strošek po veljavni zakonodaji pri prenosu zaračuna obstoječi operater naročniku. Ali to pomeni, da teh stroškov ponudniki ne vključimo v našo ceno, saj jih ne moremo plačati mi (nosimo zgolj stroške SIM kartic)?</w:t>
      </w:r>
    </w:p>
    <w:p w14:paraId="350BF42C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A30784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B9609D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57640A06" w14:textId="77777777" w:rsidR="00A836C8" w:rsidRPr="00B9609D" w:rsidRDefault="00B26C00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Ne,</w:t>
      </w:r>
      <w:r w:rsidRPr="00B9609D">
        <w:t xml:space="preserve"> </w:t>
      </w:r>
      <w:r w:rsidRPr="00B9609D">
        <w:rPr>
          <w:rFonts w:ascii="Tahoma" w:eastAsia="Calibri" w:hAnsi="Tahoma" w:cs="Tahoma"/>
          <w:sz w:val="20"/>
          <w:szCs w:val="20"/>
        </w:rPr>
        <w:t>navedene stroške naj ponudniki vključijo v ponudbeno ceno. Ponudnik nosi vse stroške, vključno s stroškom menjave operaterja oz. stroškom prenosa telefonskih številk naročnikovih uporabnikov ter stroškom menjave SIM kartic. Se pravi cena v ponudbi mora zajemati vse stroške, ki jih bo ponudnik imel z realizacijo naročila in s pravočasno in kvalitetno menjavo operaterja oz. izbranega izvajalca. Naročnik ponudniku ne bo dovoljeval drugih ali dodatnih zaračunavanj</w:t>
      </w:r>
      <w:r w:rsidR="00E740A4" w:rsidRPr="00B9609D">
        <w:rPr>
          <w:rFonts w:ascii="Tahoma" w:eastAsia="Calibri" w:hAnsi="Tahoma" w:cs="Tahoma"/>
          <w:sz w:val="20"/>
          <w:szCs w:val="20"/>
        </w:rPr>
        <w:t>.</w:t>
      </w:r>
    </w:p>
    <w:p w14:paraId="33E1756D" w14:textId="77777777" w:rsidR="00A836C8" w:rsidRPr="00B9609D" w:rsidRDefault="00A836C8" w:rsidP="00A836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23DDF9" w14:textId="5C53248D" w:rsidR="00E15823" w:rsidRPr="00B9609D" w:rsidRDefault="00E15823" w:rsidP="00A836C8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 xml:space="preserve">Naročnik </w:t>
      </w:r>
      <w:r w:rsidR="004A1C4B" w:rsidRPr="00B9609D">
        <w:rPr>
          <w:rFonts w:ascii="Tahoma" w:eastAsia="Calibri" w:hAnsi="Tahoma" w:cs="Tahoma"/>
          <w:sz w:val="20"/>
          <w:szCs w:val="20"/>
        </w:rPr>
        <w:t>v vednost dodaja</w:t>
      </w:r>
      <w:r w:rsidRPr="00B9609D">
        <w:rPr>
          <w:rFonts w:ascii="Tahoma" w:eastAsia="Calibri" w:hAnsi="Tahoma" w:cs="Tahoma"/>
          <w:sz w:val="20"/>
          <w:szCs w:val="20"/>
        </w:rPr>
        <w:t>, da po obstoječem</w:t>
      </w:r>
      <w:r w:rsidR="004A1C4B" w:rsidRPr="00B9609D">
        <w:rPr>
          <w:rFonts w:ascii="Tahoma" w:eastAsia="Calibri" w:hAnsi="Tahoma" w:cs="Tahoma"/>
          <w:sz w:val="20"/>
          <w:szCs w:val="20"/>
        </w:rPr>
        <w:t>/ih</w:t>
      </w:r>
      <w:r w:rsidRPr="00B9609D">
        <w:rPr>
          <w:rFonts w:ascii="Tahoma" w:eastAsia="Calibri" w:hAnsi="Tahoma" w:cs="Tahoma"/>
          <w:sz w:val="20"/>
          <w:szCs w:val="20"/>
        </w:rPr>
        <w:t xml:space="preserve"> </w:t>
      </w:r>
      <w:r w:rsidR="00890E41" w:rsidRPr="00B9609D">
        <w:rPr>
          <w:rFonts w:ascii="Tahoma" w:eastAsia="Calibri" w:hAnsi="Tahoma" w:cs="Tahoma"/>
          <w:sz w:val="20"/>
          <w:szCs w:val="20"/>
        </w:rPr>
        <w:t xml:space="preserve">(veljavnem/ih) </w:t>
      </w:r>
      <w:r w:rsidRPr="00B9609D">
        <w:rPr>
          <w:rFonts w:ascii="Tahoma" w:eastAsia="Calibri" w:hAnsi="Tahoma" w:cs="Tahoma"/>
          <w:sz w:val="20"/>
          <w:szCs w:val="20"/>
        </w:rPr>
        <w:t>okvirne</w:t>
      </w:r>
      <w:r w:rsidR="00534FCB" w:rsidRPr="00B9609D">
        <w:rPr>
          <w:rFonts w:ascii="Tahoma" w:eastAsia="Calibri" w:hAnsi="Tahoma" w:cs="Tahoma"/>
          <w:sz w:val="20"/>
          <w:szCs w:val="20"/>
        </w:rPr>
        <w:t>m</w:t>
      </w:r>
      <w:r w:rsidR="004A1C4B" w:rsidRPr="00B9609D">
        <w:rPr>
          <w:rFonts w:ascii="Tahoma" w:eastAsia="Calibri" w:hAnsi="Tahoma" w:cs="Tahoma"/>
          <w:sz w:val="20"/>
          <w:szCs w:val="20"/>
        </w:rPr>
        <w:t>/ih</w:t>
      </w:r>
      <w:r w:rsidRPr="00B9609D">
        <w:rPr>
          <w:rFonts w:ascii="Tahoma" w:eastAsia="Calibri" w:hAnsi="Tahoma" w:cs="Tahoma"/>
          <w:sz w:val="20"/>
          <w:szCs w:val="20"/>
        </w:rPr>
        <w:t xml:space="preserve"> sporazumu</w:t>
      </w:r>
      <w:r w:rsidR="004A1C4B" w:rsidRPr="00B9609D">
        <w:rPr>
          <w:rFonts w:ascii="Tahoma" w:eastAsia="Calibri" w:hAnsi="Tahoma" w:cs="Tahoma"/>
          <w:sz w:val="20"/>
          <w:szCs w:val="20"/>
        </w:rPr>
        <w:t>/ih</w:t>
      </w:r>
      <w:r w:rsidR="004A1C4B" w:rsidRPr="00B9609D">
        <w:t xml:space="preserve"> (</w:t>
      </w:r>
      <w:r w:rsidR="004A1C4B" w:rsidRPr="00B9609D">
        <w:rPr>
          <w:rFonts w:ascii="Tahoma" w:eastAsia="Calibri" w:hAnsi="Tahoma" w:cs="Tahoma"/>
          <w:sz w:val="20"/>
          <w:szCs w:val="20"/>
        </w:rPr>
        <w:t>katerega predmet je »Storitev mobilne telefonije«), velja, da so vsa naročniška razmerja časovno omejena oziroma vezana na veljavnost okvirnega sporazuma ter prenehajo veljati z dnem, ko preneha veljati okvirni sporazum brez morebitnih dodatnih obveznosti/stroškov naročnika do izvajalca.</w:t>
      </w:r>
      <w:r w:rsidRPr="00B9609D">
        <w:rPr>
          <w:rFonts w:ascii="Tahoma" w:eastAsia="Calibri" w:hAnsi="Tahoma" w:cs="Tahoma"/>
          <w:sz w:val="20"/>
          <w:szCs w:val="20"/>
        </w:rPr>
        <w:t xml:space="preserve"> </w:t>
      </w:r>
      <w:r w:rsidR="00890E41" w:rsidRPr="00B9609D">
        <w:rPr>
          <w:rFonts w:ascii="Tahoma" w:eastAsia="Calibri" w:hAnsi="Tahoma" w:cs="Tahoma"/>
          <w:sz w:val="20"/>
          <w:szCs w:val="20"/>
        </w:rPr>
        <w:t>Poleg tega naročnik tudi dodaja, da po obstoječem (veljavnem) ponudbenem predračunu znaša cena prenosa naročniške številke in priključna taksa – mobilna 0,00 EUR, cena odklopa/prekinitve naročniškega razmerja 0,00 EUR in cena zamenjave SIM kartice prav tako 0,00 EUR</w:t>
      </w:r>
      <w:r w:rsidR="00BC5F6F" w:rsidRPr="00B9609D">
        <w:rPr>
          <w:rFonts w:ascii="Tahoma" w:eastAsia="Calibri" w:hAnsi="Tahoma" w:cs="Tahoma"/>
          <w:sz w:val="20"/>
          <w:szCs w:val="20"/>
        </w:rPr>
        <w:t>.</w:t>
      </w:r>
      <w:r w:rsidR="00890E41" w:rsidRPr="00B9609D">
        <w:rPr>
          <w:rFonts w:ascii="Tahoma" w:eastAsia="Calibri" w:hAnsi="Tahoma" w:cs="Tahoma"/>
          <w:sz w:val="20"/>
          <w:szCs w:val="20"/>
        </w:rPr>
        <w:t xml:space="preserve">  </w:t>
      </w:r>
    </w:p>
    <w:p w14:paraId="278065EA" w14:textId="499E0435" w:rsidR="003C67E2" w:rsidRPr="00B9609D" w:rsidRDefault="003C67E2" w:rsidP="003C67E2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</w:p>
    <w:p w14:paraId="03D29721" w14:textId="77777777" w:rsidR="003C67E2" w:rsidRPr="00B9609D" w:rsidRDefault="003C67E2" w:rsidP="003C67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B9609D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40FC8DA7" w14:textId="77777777" w:rsidR="003C67E2" w:rsidRPr="00B9609D" w:rsidRDefault="003C67E2" w:rsidP="003C67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BFD6F2A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9609D">
        <w:rPr>
          <w:rFonts w:ascii="Tahoma" w:eastAsia="Calibri" w:hAnsi="Tahoma" w:cs="Tahoma"/>
          <w:b/>
          <w:sz w:val="20"/>
          <w:szCs w:val="20"/>
        </w:rPr>
        <w:t>Datum prejema: 28.06.2021   07:56</w:t>
      </w:r>
    </w:p>
    <w:p w14:paraId="349E5F39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Pozdravljeni,</w:t>
      </w:r>
    </w:p>
    <w:p w14:paraId="3AB7D3B1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v dokumentaciji v točki H (5.2. Tehnične specifikacije) navajate zahteve za Govorni dostop SIP-Trunk z E1 vmesnikom za naročnika MOL.</w:t>
      </w:r>
    </w:p>
    <w:p w14:paraId="3940F9CE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Prosim potrditev pravilnega razumevanja, da se navedeni priključki v ponudbenem predračunu upoštevajo v točki 2.17. (Naročnina - Standardni ISDN PA) ali gre za napako v ponudbenem predračunu?</w:t>
      </w:r>
    </w:p>
    <w:p w14:paraId="0CBC18C6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Ali tako pravilno razumemo, da se navedene priključke lahko ponudi kot klasičen PA priključek ali kot SIP Trunk s 30 govornimi kanali s PA (E1) z vmesnikom?</w:t>
      </w:r>
    </w:p>
    <w:p w14:paraId="270F1B9A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lastRenderedPageBreak/>
        <w:t>Količina priključkov po ponudbenem predračunu je sicer 7 (5x za MOL). Prosim za dodatno pojasnilo na katerih lokacijah se vzpostavi ostala dva priključka?</w:t>
      </w:r>
    </w:p>
    <w:p w14:paraId="09A2BB37" w14:textId="77777777" w:rsidR="00D901D4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Če razumemo napačno, prosimo za obrazložitev pomena postavk.</w:t>
      </w:r>
    </w:p>
    <w:p w14:paraId="33D31024" w14:textId="42F4DF68" w:rsidR="003C67E2" w:rsidRPr="00B9609D" w:rsidRDefault="00D901D4" w:rsidP="00D901D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9609D">
        <w:rPr>
          <w:rFonts w:ascii="Tahoma" w:eastAsia="Calibri" w:hAnsi="Tahoma" w:cs="Tahoma"/>
          <w:sz w:val="20"/>
          <w:szCs w:val="20"/>
        </w:rPr>
        <w:t>Hvala in lep pozdrav</w:t>
      </w:r>
    </w:p>
    <w:p w14:paraId="431F1210" w14:textId="77777777" w:rsidR="003C67E2" w:rsidRPr="00B9609D" w:rsidRDefault="003C67E2" w:rsidP="003C67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A04D99D" w14:textId="77777777" w:rsidR="003C67E2" w:rsidRPr="00B9609D" w:rsidRDefault="003C67E2" w:rsidP="003C67E2">
      <w:pPr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B9609D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2EA84856" w14:textId="141C1BAA" w:rsidR="005D2FA9" w:rsidRPr="00B9609D" w:rsidRDefault="005D2FA9" w:rsidP="002B7FB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9609D">
        <w:rPr>
          <w:rFonts w:ascii="Tahoma" w:hAnsi="Tahoma" w:cs="Tahoma"/>
          <w:sz w:val="20"/>
          <w:szCs w:val="20"/>
        </w:rPr>
        <w:t>Da pravilno razumete postavke predračuna. Gre za 5x PA dostop do PBX sistema naročnika MOL. Ponudnik lahko ponudi ali klasičen PA dostop ali dostop preko SIP, ki ga ponudnik zaključi z ustreznim vmesnikom. Priklop na centralo je 5x E1 link. Vmesniki morajo podpirati HPC (</w:t>
      </w:r>
      <w:proofErr w:type="spellStart"/>
      <w:r w:rsidRPr="00B9609D">
        <w:rPr>
          <w:rFonts w:ascii="Tahoma" w:hAnsi="Tahoma" w:cs="Tahoma"/>
          <w:sz w:val="20"/>
          <w:szCs w:val="20"/>
        </w:rPr>
        <w:t>high</w:t>
      </w:r>
      <w:proofErr w:type="spellEnd"/>
      <w:r w:rsidRPr="00B960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9609D">
        <w:rPr>
          <w:rFonts w:ascii="Tahoma" w:hAnsi="Tahoma" w:cs="Tahoma"/>
          <w:sz w:val="20"/>
          <w:szCs w:val="20"/>
        </w:rPr>
        <w:t>precision</w:t>
      </w:r>
      <w:proofErr w:type="spellEnd"/>
      <w:r w:rsidRPr="00B960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9609D">
        <w:rPr>
          <w:rFonts w:ascii="Tahoma" w:hAnsi="Tahoma" w:cs="Tahoma"/>
          <w:sz w:val="20"/>
          <w:szCs w:val="20"/>
        </w:rPr>
        <w:t>clock</w:t>
      </w:r>
      <w:proofErr w:type="spellEnd"/>
      <w:r w:rsidRPr="00B9609D">
        <w:rPr>
          <w:rFonts w:ascii="Tahoma" w:hAnsi="Tahoma" w:cs="Tahoma"/>
          <w:sz w:val="20"/>
          <w:szCs w:val="20"/>
        </w:rPr>
        <w:t>). Povezljivost na dve lokaciji.</w:t>
      </w:r>
    </w:p>
    <w:p w14:paraId="28BA2D54" w14:textId="77777777" w:rsidR="002B7FB0" w:rsidRPr="00B9609D" w:rsidRDefault="002B7FB0" w:rsidP="00AE22F0">
      <w:pPr>
        <w:spacing w:after="0"/>
        <w:rPr>
          <w:rFonts w:ascii="Tahoma" w:hAnsi="Tahoma" w:cs="Tahoma"/>
          <w:sz w:val="20"/>
          <w:szCs w:val="20"/>
        </w:rPr>
      </w:pPr>
    </w:p>
    <w:p w14:paraId="471D21CB" w14:textId="466FD59E" w:rsidR="003C67E2" w:rsidRPr="005E0784" w:rsidRDefault="005D2FA9" w:rsidP="00D20F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9609D">
        <w:rPr>
          <w:rFonts w:ascii="Tahoma" w:hAnsi="Tahoma" w:cs="Tahoma"/>
          <w:sz w:val="20"/>
          <w:szCs w:val="20"/>
        </w:rPr>
        <w:t xml:space="preserve">Dva dodatna kosa, sta predvidena za primer vklopa dveh dodatnih lokacij v času veljavnosti </w:t>
      </w:r>
      <w:r w:rsidR="00D20F62" w:rsidRPr="00B9609D">
        <w:rPr>
          <w:rFonts w:ascii="Tahoma" w:hAnsi="Tahoma" w:cs="Tahoma"/>
          <w:sz w:val="20"/>
          <w:szCs w:val="20"/>
        </w:rPr>
        <w:t>okvirnega sporazuma</w:t>
      </w:r>
      <w:r w:rsidRPr="00B9609D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14:paraId="61E5F5EF" w14:textId="77777777" w:rsidR="003C67E2" w:rsidRPr="005E0784" w:rsidRDefault="003C67E2" w:rsidP="003C67E2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</w:p>
    <w:sectPr w:rsidR="003C67E2" w:rsidRPr="005E0784" w:rsidSect="00A836C8">
      <w:headerReference w:type="default" r:id="rId7"/>
      <w:footerReference w:type="default" r:id="rId8"/>
      <w:pgSz w:w="11906" w:h="16838"/>
      <w:pgMar w:top="1417" w:right="1133" w:bottom="1417" w:left="1417" w:header="43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A3D3" w14:textId="77777777" w:rsidR="00DA1EDA" w:rsidRDefault="00DA1EDA" w:rsidP="00A836C8">
      <w:pPr>
        <w:spacing w:after="0" w:line="240" w:lineRule="auto"/>
      </w:pPr>
      <w:r>
        <w:separator/>
      </w:r>
    </w:p>
  </w:endnote>
  <w:endnote w:type="continuationSeparator" w:id="0">
    <w:p w14:paraId="2C445606" w14:textId="77777777" w:rsidR="00DA1EDA" w:rsidRDefault="00DA1EDA" w:rsidP="00A8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DF3E" w14:textId="77777777" w:rsidR="00A836C8" w:rsidRPr="00D872FF" w:rsidRDefault="00A836C8" w:rsidP="00A836C8">
    <w:pPr>
      <w:tabs>
        <w:tab w:val="left" w:pos="4353"/>
        <w:tab w:val="center" w:pos="4536"/>
        <w:tab w:val="right" w:pos="9072"/>
      </w:tabs>
      <w:spacing w:after="200" w:line="276" w:lineRule="auto"/>
      <w:ind w:right="-1276"/>
      <w:rPr>
        <w:rFonts w:ascii="Calibri" w:eastAsia="Calibri" w:hAnsi="Calibri"/>
        <w:lang w:val="x-none"/>
      </w:rPr>
    </w:pPr>
    <w:r w:rsidRPr="00D872FF">
      <w:rPr>
        <w:rFonts w:ascii="Calibri" w:eastAsia="Calibri" w:hAnsi="Calibri"/>
        <w:lang w:val="x-none"/>
      </w:rPr>
      <w:tab/>
    </w:r>
    <w:r w:rsidRPr="00D872FF">
      <w:rPr>
        <w:rFonts w:ascii="Calibri" w:eastAsia="Calibri" w:hAnsi="Calibri"/>
        <w:noProof/>
        <w:lang w:eastAsia="sl-SI"/>
      </w:rPr>
      <w:drawing>
        <wp:inline distT="0" distB="0" distL="0" distR="0" wp14:anchorId="464980FC" wp14:editId="0CE61CB7">
          <wp:extent cx="3790315" cy="33020"/>
          <wp:effectExtent l="0" t="0" r="635" b="5080"/>
          <wp:docPr id="2" name="Slika 2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3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E1DDA" w14:textId="75842BDF" w:rsidR="00A836C8" w:rsidRPr="00D872FF" w:rsidRDefault="00A836C8" w:rsidP="00A836C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16"/>
        <w:szCs w:val="16"/>
        <w:lang w:val="x-none"/>
      </w:rPr>
    </w:pPr>
    <w:r w:rsidRPr="00D872FF">
      <w:rPr>
        <w:rFonts w:ascii="Calibri" w:eastAsia="Calibri" w:hAnsi="Calibri"/>
        <w:sz w:val="16"/>
        <w:szCs w:val="16"/>
        <w:lang w:val="x-none"/>
      </w:rPr>
      <w:fldChar w:fldCharType="begin"/>
    </w:r>
    <w:r w:rsidRPr="00D872FF">
      <w:rPr>
        <w:rFonts w:ascii="Calibri" w:eastAsia="Calibri" w:hAnsi="Calibri"/>
        <w:sz w:val="16"/>
        <w:szCs w:val="16"/>
        <w:lang w:val="x-none"/>
      </w:rPr>
      <w:instrText xml:space="preserve"> PAGE   \* MERGEFORMAT </w:instrText>
    </w:r>
    <w:r w:rsidRPr="00D872FF">
      <w:rPr>
        <w:rFonts w:ascii="Calibri" w:eastAsia="Calibri" w:hAnsi="Calibri"/>
        <w:sz w:val="16"/>
        <w:szCs w:val="16"/>
        <w:lang w:val="x-none"/>
      </w:rPr>
      <w:fldChar w:fldCharType="separate"/>
    </w:r>
    <w:r w:rsidR="00B9609D">
      <w:rPr>
        <w:rFonts w:ascii="Calibri" w:eastAsia="Calibri" w:hAnsi="Calibri"/>
        <w:noProof/>
        <w:sz w:val="16"/>
        <w:szCs w:val="16"/>
        <w:lang w:val="x-none"/>
      </w:rPr>
      <w:t>2</w:t>
    </w:r>
    <w:r w:rsidRPr="00D872FF">
      <w:rPr>
        <w:rFonts w:ascii="Calibri" w:eastAsia="Calibri" w:hAnsi="Calibri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709A" w14:textId="77777777" w:rsidR="00DA1EDA" w:rsidRDefault="00DA1EDA" w:rsidP="00A836C8">
      <w:pPr>
        <w:spacing w:after="0" w:line="240" w:lineRule="auto"/>
      </w:pPr>
      <w:r>
        <w:separator/>
      </w:r>
    </w:p>
  </w:footnote>
  <w:footnote w:type="continuationSeparator" w:id="0">
    <w:p w14:paraId="10EFB11A" w14:textId="77777777" w:rsidR="00DA1EDA" w:rsidRDefault="00DA1EDA" w:rsidP="00A8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E2D0" w14:textId="77777777" w:rsidR="00A836C8" w:rsidRDefault="00A836C8" w:rsidP="00A836C8">
    <w:pPr>
      <w:pStyle w:val="Glava"/>
      <w:tabs>
        <w:tab w:val="clear" w:pos="4536"/>
        <w:tab w:val="clear" w:pos="9072"/>
      </w:tabs>
      <w:jc w:val="center"/>
    </w:pPr>
    <w:r>
      <w:rPr>
        <w:noProof/>
        <w:lang w:eastAsia="sl-SI"/>
      </w:rPr>
      <w:drawing>
        <wp:inline distT="0" distB="0" distL="0" distR="0" wp14:anchorId="6FEFDEAA" wp14:editId="603E04C2">
          <wp:extent cx="828675" cy="609600"/>
          <wp:effectExtent l="19050" t="0" r="9525" b="0"/>
          <wp:docPr id="1" name="Slika 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801E6D" w14:textId="77777777" w:rsidR="00A836C8" w:rsidRDefault="00A836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A39"/>
    <w:multiLevelType w:val="hybridMultilevel"/>
    <w:tmpl w:val="C6DEC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6BCF"/>
    <w:multiLevelType w:val="hybridMultilevel"/>
    <w:tmpl w:val="2DE28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18F"/>
    <w:multiLevelType w:val="hybridMultilevel"/>
    <w:tmpl w:val="C3CAA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8"/>
    <w:rsid w:val="00043CAE"/>
    <w:rsid w:val="000606EC"/>
    <w:rsid w:val="0008565E"/>
    <w:rsid w:val="00090AFF"/>
    <w:rsid w:val="0009709A"/>
    <w:rsid w:val="000B1210"/>
    <w:rsid w:val="000C20B0"/>
    <w:rsid w:val="000E2575"/>
    <w:rsid w:val="001129C1"/>
    <w:rsid w:val="001214DB"/>
    <w:rsid w:val="001439A3"/>
    <w:rsid w:val="0019068B"/>
    <w:rsid w:val="0019757C"/>
    <w:rsid w:val="001C4A55"/>
    <w:rsid w:val="001D1128"/>
    <w:rsid w:val="002127B1"/>
    <w:rsid w:val="00215451"/>
    <w:rsid w:val="002422DB"/>
    <w:rsid w:val="00256722"/>
    <w:rsid w:val="002578EC"/>
    <w:rsid w:val="00273726"/>
    <w:rsid w:val="00295786"/>
    <w:rsid w:val="002B7FB0"/>
    <w:rsid w:val="002F2835"/>
    <w:rsid w:val="002F6FBB"/>
    <w:rsid w:val="00303FA2"/>
    <w:rsid w:val="00325FC1"/>
    <w:rsid w:val="003507D4"/>
    <w:rsid w:val="0035684F"/>
    <w:rsid w:val="0035686A"/>
    <w:rsid w:val="0037280F"/>
    <w:rsid w:val="00373102"/>
    <w:rsid w:val="00394AAF"/>
    <w:rsid w:val="003C02AA"/>
    <w:rsid w:val="003C67E2"/>
    <w:rsid w:val="003E5C61"/>
    <w:rsid w:val="004025F2"/>
    <w:rsid w:val="00404C76"/>
    <w:rsid w:val="004178D6"/>
    <w:rsid w:val="00420740"/>
    <w:rsid w:val="00432452"/>
    <w:rsid w:val="004818D8"/>
    <w:rsid w:val="00483DEE"/>
    <w:rsid w:val="004A1699"/>
    <w:rsid w:val="004A1C4B"/>
    <w:rsid w:val="004B0869"/>
    <w:rsid w:val="004C4574"/>
    <w:rsid w:val="004C7412"/>
    <w:rsid w:val="004D68E5"/>
    <w:rsid w:val="004E1DE2"/>
    <w:rsid w:val="0050270D"/>
    <w:rsid w:val="00534FCB"/>
    <w:rsid w:val="00582777"/>
    <w:rsid w:val="005D1315"/>
    <w:rsid w:val="005D2FA9"/>
    <w:rsid w:val="005E0784"/>
    <w:rsid w:val="005F74E6"/>
    <w:rsid w:val="006109C6"/>
    <w:rsid w:val="00625683"/>
    <w:rsid w:val="0063516F"/>
    <w:rsid w:val="00636EBE"/>
    <w:rsid w:val="00676427"/>
    <w:rsid w:val="006934C0"/>
    <w:rsid w:val="006E6D42"/>
    <w:rsid w:val="006E7854"/>
    <w:rsid w:val="00723A9B"/>
    <w:rsid w:val="00741BA7"/>
    <w:rsid w:val="00776829"/>
    <w:rsid w:val="00792181"/>
    <w:rsid w:val="007C7EED"/>
    <w:rsid w:val="00806629"/>
    <w:rsid w:val="00882499"/>
    <w:rsid w:val="00884E27"/>
    <w:rsid w:val="00890E41"/>
    <w:rsid w:val="00897BCA"/>
    <w:rsid w:val="008C080A"/>
    <w:rsid w:val="008D0BE7"/>
    <w:rsid w:val="008D75B3"/>
    <w:rsid w:val="00905F05"/>
    <w:rsid w:val="009143E9"/>
    <w:rsid w:val="009238AA"/>
    <w:rsid w:val="009526F7"/>
    <w:rsid w:val="009A11A6"/>
    <w:rsid w:val="009F1C0C"/>
    <w:rsid w:val="00A416DB"/>
    <w:rsid w:val="00A46AEA"/>
    <w:rsid w:val="00A819A6"/>
    <w:rsid w:val="00A836C8"/>
    <w:rsid w:val="00A956BF"/>
    <w:rsid w:val="00AD637B"/>
    <w:rsid w:val="00AE22F0"/>
    <w:rsid w:val="00B26C00"/>
    <w:rsid w:val="00B314B2"/>
    <w:rsid w:val="00B56A59"/>
    <w:rsid w:val="00B654C1"/>
    <w:rsid w:val="00B71F1B"/>
    <w:rsid w:val="00B9609D"/>
    <w:rsid w:val="00BC2A75"/>
    <w:rsid w:val="00BC4FB0"/>
    <w:rsid w:val="00BC5F6F"/>
    <w:rsid w:val="00BF21D6"/>
    <w:rsid w:val="00C1602C"/>
    <w:rsid w:val="00C35657"/>
    <w:rsid w:val="00C536A9"/>
    <w:rsid w:val="00C74D9F"/>
    <w:rsid w:val="00C8044F"/>
    <w:rsid w:val="00CB491D"/>
    <w:rsid w:val="00CC69B3"/>
    <w:rsid w:val="00D20F62"/>
    <w:rsid w:val="00D41134"/>
    <w:rsid w:val="00D57E65"/>
    <w:rsid w:val="00D719B8"/>
    <w:rsid w:val="00D82460"/>
    <w:rsid w:val="00D901D4"/>
    <w:rsid w:val="00DA1EDA"/>
    <w:rsid w:val="00DB051C"/>
    <w:rsid w:val="00DB2484"/>
    <w:rsid w:val="00DB46CB"/>
    <w:rsid w:val="00DC2108"/>
    <w:rsid w:val="00DD27BE"/>
    <w:rsid w:val="00DF1367"/>
    <w:rsid w:val="00E0358F"/>
    <w:rsid w:val="00E118CF"/>
    <w:rsid w:val="00E15823"/>
    <w:rsid w:val="00E32EE2"/>
    <w:rsid w:val="00E52C1F"/>
    <w:rsid w:val="00E55025"/>
    <w:rsid w:val="00E740A4"/>
    <w:rsid w:val="00ED0F41"/>
    <w:rsid w:val="00ED1FBC"/>
    <w:rsid w:val="00ED770E"/>
    <w:rsid w:val="00ED7FA1"/>
    <w:rsid w:val="00EF4220"/>
    <w:rsid w:val="00F074A4"/>
    <w:rsid w:val="00F25D2F"/>
    <w:rsid w:val="00F464F4"/>
    <w:rsid w:val="00F65CA2"/>
    <w:rsid w:val="00F81F4A"/>
    <w:rsid w:val="00F853BC"/>
    <w:rsid w:val="00F9554F"/>
    <w:rsid w:val="00FB67DD"/>
    <w:rsid w:val="00FC441D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96FD96"/>
  <w15:chartTrackingRefBased/>
  <w15:docId w15:val="{C54322F6-10C8-4BAA-8AAE-782BE8E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836C8"/>
  </w:style>
  <w:style w:type="paragraph" w:styleId="Noga">
    <w:name w:val="footer"/>
    <w:basedOn w:val="Navaden"/>
    <w:link w:val="NogaZnak"/>
    <w:uiPriority w:val="99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36C8"/>
  </w:style>
  <w:style w:type="character" w:styleId="Pripombasklic">
    <w:name w:val="annotation reference"/>
    <w:basedOn w:val="Privzetapisavaodstavka"/>
    <w:uiPriority w:val="99"/>
    <w:semiHidden/>
    <w:unhideWhenUsed/>
    <w:rsid w:val="00B26C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6C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26C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6C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6C0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6C0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565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D0F4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21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68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602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SJN</dc:creator>
  <cp:keywords/>
  <dc:description/>
  <cp:lastModifiedBy>SJN</cp:lastModifiedBy>
  <cp:revision>16</cp:revision>
  <cp:lastPrinted>2021-06-24T06:47:00Z</cp:lastPrinted>
  <dcterms:created xsi:type="dcterms:W3CDTF">2021-06-28T13:00:00Z</dcterms:created>
  <dcterms:modified xsi:type="dcterms:W3CDTF">2021-06-29T08:50:00Z</dcterms:modified>
</cp:coreProperties>
</file>