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3A1A28">
      <w:pPr>
        <w:keepNext/>
        <w:keepLines/>
        <w:rPr>
          <w:rFonts w:ascii="Tahoma" w:hAnsi="Tahoma" w:cs="Tahoma"/>
          <w:sz w:val="20"/>
          <w:lang w:val="en-US"/>
        </w:rPr>
      </w:pPr>
    </w:p>
    <w:p w:rsidR="00B8409C" w:rsidRPr="009F4FFF" w:rsidRDefault="00B8409C" w:rsidP="003A1A28">
      <w:pPr>
        <w:keepNext/>
        <w:keepLines/>
        <w:rPr>
          <w:rFonts w:ascii="Tahoma" w:hAnsi="Tahoma" w:cs="Tahoma"/>
          <w:sz w:val="20"/>
          <w:lang w:val="en-US"/>
        </w:rPr>
      </w:pPr>
      <w:r w:rsidRPr="009F4FFF">
        <w:rPr>
          <w:rFonts w:ascii="Tahoma" w:hAnsi="Tahoma" w:cs="Tahoma"/>
          <w:sz w:val="20"/>
          <w:lang w:val="en-US"/>
        </w:rPr>
        <w:t xml:space="preserve">Datum: </w:t>
      </w:r>
      <w:r w:rsidR="00D468E3">
        <w:rPr>
          <w:rFonts w:ascii="Tahoma" w:hAnsi="Tahoma" w:cs="Tahoma"/>
          <w:sz w:val="20"/>
          <w:lang w:val="en-US"/>
        </w:rPr>
        <w:t>31</w:t>
      </w:r>
      <w:r w:rsidR="00D57FE9">
        <w:rPr>
          <w:rFonts w:ascii="Tahoma" w:hAnsi="Tahoma" w:cs="Tahoma"/>
          <w:sz w:val="20"/>
          <w:lang w:val="en-US"/>
        </w:rPr>
        <w:t>.</w:t>
      </w:r>
      <w:r w:rsidR="007367CD">
        <w:rPr>
          <w:rFonts w:ascii="Tahoma" w:hAnsi="Tahoma" w:cs="Tahoma"/>
          <w:sz w:val="20"/>
          <w:lang w:val="en-US"/>
        </w:rPr>
        <w:t xml:space="preserve"> 12</w:t>
      </w:r>
      <w:r w:rsidR="00D57FE9">
        <w:rPr>
          <w:rFonts w:ascii="Tahoma" w:hAnsi="Tahoma" w:cs="Tahoma"/>
          <w:sz w:val="20"/>
          <w:lang w:val="en-US"/>
        </w:rPr>
        <w:t>.</w:t>
      </w:r>
      <w:r w:rsidR="00441F5B">
        <w:rPr>
          <w:rFonts w:ascii="Tahoma" w:hAnsi="Tahoma" w:cs="Tahoma"/>
          <w:sz w:val="20"/>
          <w:lang w:val="en-US"/>
        </w:rPr>
        <w:t xml:space="preserve"> 2020</w:t>
      </w:r>
    </w:p>
    <w:p w:rsidR="00763D0C" w:rsidRDefault="00763D0C" w:rsidP="003A1A28">
      <w:pPr>
        <w:keepNext/>
        <w:keepLines/>
        <w:rPr>
          <w:rFonts w:ascii="Tahoma" w:hAnsi="Tahoma" w:cs="Tahoma"/>
          <w:sz w:val="20"/>
        </w:rPr>
      </w:pPr>
    </w:p>
    <w:p w:rsidR="00B8409C" w:rsidRPr="009F4FFF" w:rsidRDefault="00B8409C" w:rsidP="003A1A28">
      <w:pPr>
        <w:keepNext/>
        <w:keepLines/>
        <w:rPr>
          <w:rFonts w:ascii="Tahoma" w:hAnsi="Tahoma" w:cs="Tahoma"/>
          <w:sz w:val="20"/>
        </w:rPr>
      </w:pPr>
      <w:r w:rsidRPr="009F4FFF">
        <w:rPr>
          <w:rFonts w:ascii="Tahoma" w:hAnsi="Tahoma" w:cs="Tahoma"/>
          <w:sz w:val="20"/>
        </w:rPr>
        <w:t>Spoštovani,</w:t>
      </w:r>
    </w:p>
    <w:p w:rsidR="00B8409C" w:rsidRPr="009F4FFF" w:rsidRDefault="00B8409C" w:rsidP="003A1A28">
      <w:pPr>
        <w:keepNext/>
        <w:keepLines/>
        <w:rPr>
          <w:rFonts w:ascii="Tahoma" w:hAnsi="Tahoma" w:cs="Tahoma"/>
          <w:sz w:val="20"/>
        </w:rPr>
      </w:pPr>
    </w:p>
    <w:p w:rsidR="00441F5B" w:rsidRPr="008F63DA" w:rsidRDefault="007C3B30" w:rsidP="003A1A28">
      <w:pPr>
        <w:keepNext/>
        <w:keepLines/>
        <w:ind w:right="424"/>
        <w:jc w:val="both"/>
        <w:rPr>
          <w:rFonts w:ascii="Tahoma" w:hAnsi="Tahoma" w:cs="Tahoma"/>
          <w:b/>
          <w:sz w:val="20"/>
        </w:rPr>
      </w:pPr>
      <w:r>
        <w:rPr>
          <w:rFonts w:ascii="Tahoma" w:hAnsi="Tahoma" w:cs="Tahoma"/>
          <w:bCs/>
          <w:sz w:val="20"/>
        </w:rPr>
        <w:t xml:space="preserve">objavljamo </w:t>
      </w:r>
      <w:r w:rsidR="001E1B02">
        <w:rPr>
          <w:rFonts w:ascii="Tahoma" w:hAnsi="Tahoma" w:cs="Tahoma"/>
          <w:bCs/>
          <w:sz w:val="20"/>
        </w:rPr>
        <w:t>spremembo razpisne dokumentacije</w:t>
      </w:r>
      <w:r w:rsidRPr="007C3B30">
        <w:rPr>
          <w:rFonts w:ascii="Tahoma" w:hAnsi="Tahoma" w:cs="Tahoma"/>
          <w:bCs/>
          <w:sz w:val="20"/>
        </w:rPr>
        <w:t xml:space="preserve"> </w:t>
      </w:r>
      <w:r w:rsidR="00B93D81">
        <w:rPr>
          <w:rFonts w:ascii="Tahoma" w:hAnsi="Tahoma" w:cs="Tahoma"/>
          <w:bCs/>
          <w:sz w:val="20"/>
        </w:rPr>
        <w:t xml:space="preserve">za javno naročilo št. </w:t>
      </w:r>
      <w:r w:rsidR="00D468E3">
        <w:rPr>
          <w:rFonts w:ascii="Tahoma" w:hAnsi="Tahoma" w:cs="Tahoma"/>
          <w:bCs/>
          <w:sz w:val="20"/>
        </w:rPr>
        <w:t>JHL-35/</w:t>
      </w:r>
      <w:r w:rsidR="00863B59" w:rsidRPr="00863B59">
        <w:rPr>
          <w:rFonts w:ascii="Tahoma" w:hAnsi="Tahoma" w:cs="Tahoma"/>
          <w:bCs/>
          <w:sz w:val="20"/>
        </w:rPr>
        <w:t xml:space="preserve">20 </w:t>
      </w:r>
      <w:r w:rsidR="00D468E3">
        <w:rPr>
          <w:rFonts w:ascii="Tahoma" w:hAnsi="Tahoma" w:cs="Tahoma"/>
          <w:bCs/>
          <w:sz w:val="20"/>
        </w:rPr>
        <w:t>Čiščenje poslovnih prostorov.</w:t>
      </w:r>
    </w:p>
    <w:p w:rsidR="00441F5B" w:rsidRDefault="00441F5B" w:rsidP="003A1A28">
      <w:pPr>
        <w:keepNext/>
        <w:keepLines/>
        <w:jc w:val="both"/>
        <w:rPr>
          <w:rFonts w:ascii="Tahoma" w:hAnsi="Tahoma" w:cs="Tahoma"/>
          <w:bCs/>
          <w:sz w:val="20"/>
        </w:rPr>
      </w:pPr>
    </w:p>
    <w:p w:rsidR="00763D0C" w:rsidRPr="00B45D59" w:rsidRDefault="001E1B02" w:rsidP="003A1A28">
      <w:pPr>
        <w:keepNext/>
        <w:keepLines/>
        <w:tabs>
          <w:tab w:val="left" w:pos="8505"/>
        </w:tabs>
        <w:spacing w:after="120"/>
        <w:jc w:val="both"/>
        <w:rPr>
          <w:rFonts w:ascii="Tahoma" w:hAnsi="Tahoma" w:cs="Tahoma"/>
          <w:color w:val="00B050"/>
          <w:sz w:val="20"/>
        </w:rPr>
      </w:pPr>
      <w:r w:rsidRPr="00B45D59">
        <w:rPr>
          <w:rFonts w:ascii="Tahoma" w:hAnsi="Tahoma" w:cs="Tahoma"/>
          <w:color w:val="00B050"/>
          <w:sz w:val="20"/>
        </w:rPr>
        <w:t>SPREMEMBA RAZPISNE DOKUMENTACIJE</w:t>
      </w:r>
      <w:r w:rsidR="00763D0C" w:rsidRPr="00B45D59">
        <w:rPr>
          <w:rFonts w:ascii="Tahoma" w:hAnsi="Tahoma" w:cs="Tahoma"/>
          <w:color w:val="00B050"/>
          <w:sz w:val="20"/>
        </w:rPr>
        <w:t>:</w:t>
      </w:r>
    </w:p>
    <w:p w:rsidR="00140D68" w:rsidRDefault="00140D68" w:rsidP="00240C29">
      <w:pPr>
        <w:pStyle w:val="Odstavekseznama"/>
        <w:keepNext/>
        <w:keepLines/>
        <w:numPr>
          <w:ilvl w:val="0"/>
          <w:numId w:val="32"/>
        </w:numPr>
        <w:tabs>
          <w:tab w:val="left" w:pos="8505"/>
        </w:tabs>
        <w:spacing w:after="120"/>
        <w:ind w:left="284" w:hanging="284"/>
        <w:jc w:val="both"/>
        <w:rPr>
          <w:rFonts w:ascii="Tahoma" w:hAnsi="Tahoma" w:cs="Tahoma"/>
          <w:sz w:val="20"/>
        </w:rPr>
      </w:pPr>
      <w:r w:rsidRPr="00240C29">
        <w:rPr>
          <w:rFonts w:ascii="Tahoma" w:hAnsi="Tahoma" w:cs="Tahoma"/>
          <w:sz w:val="20"/>
          <w:highlight w:val="yellow"/>
        </w:rPr>
        <w:t xml:space="preserve">Naročnik spreminja razpisno dokumentacijo na način, da se briše </w:t>
      </w:r>
      <w:r w:rsidR="00515A67" w:rsidRPr="00240C29">
        <w:rPr>
          <w:rFonts w:ascii="Tahoma" w:hAnsi="Tahoma" w:cs="Tahoma"/>
          <w:sz w:val="20"/>
          <w:highlight w:val="yellow"/>
        </w:rPr>
        <w:t>celotno besedilo 3.4</w:t>
      </w:r>
      <w:r w:rsidRPr="00240C29">
        <w:rPr>
          <w:rFonts w:ascii="Tahoma" w:hAnsi="Tahoma" w:cs="Tahoma"/>
          <w:sz w:val="20"/>
          <w:highlight w:val="yellow"/>
        </w:rPr>
        <w:t>. točke razpisne dokumentacije, ki se ga nadomesti z naslednjim besedilom:</w:t>
      </w:r>
    </w:p>
    <w:p w:rsidR="00240C29" w:rsidRPr="00240C29" w:rsidRDefault="00240C29" w:rsidP="00240C29">
      <w:pPr>
        <w:pStyle w:val="Odstavekseznama"/>
        <w:keepNext/>
        <w:keepLines/>
        <w:tabs>
          <w:tab w:val="left" w:pos="8505"/>
        </w:tabs>
        <w:spacing w:after="120"/>
        <w:jc w:val="both"/>
        <w:rPr>
          <w:rFonts w:ascii="Tahoma" w:hAnsi="Tahoma" w:cs="Tahoma"/>
          <w:sz w:val="20"/>
        </w:rPr>
      </w:pPr>
    </w:p>
    <w:p w:rsidR="00140D68" w:rsidRPr="00140D68" w:rsidRDefault="00515A67" w:rsidP="00140D68">
      <w:pPr>
        <w:pStyle w:val="Odstavekseznama"/>
        <w:keepNext/>
        <w:keepLines/>
        <w:numPr>
          <w:ilvl w:val="1"/>
          <w:numId w:val="31"/>
        </w:numPr>
        <w:jc w:val="both"/>
        <w:outlineLvl w:val="0"/>
        <w:rPr>
          <w:rFonts w:ascii="Tahoma" w:hAnsi="Tahoma" w:cs="Tahoma"/>
          <w:b/>
          <w:sz w:val="20"/>
        </w:rPr>
      </w:pPr>
      <w:r>
        <w:rPr>
          <w:rFonts w:ascii="Tahoma" w:hAnsi="Tahoma" w:cs="Tahoma"/>
          <w:b/>
          <w:sz w:val="20"/>
        </w:rPr>
        <w:t>»</w:t>
      </w:r>
      <w:r w:rsidR="00140D68" w:rsidRPr="00140D68">
        <w:rPr>
          <w:rFonts w:ascii="Tahoma" w:hAnsi="Tahoma" w:cs="Tahoma"/>
          <w:b/>
          <w:sz w:val="20"/>
        </w:rPr>
        <w:t>ZAHTEVE VARSTVA PRI DELU, POŽARNEGA VARSTVA IN VAROVANJA OKOLJA – velja za sklop 1 JPE</w:t>
      </w:r>
    </w:p>
    <w:p w:rsidR="00140D68" w:rsidRPr="00140D68" w:rsidRDefault="00140D68" w:rsidP="00140D68">
      <w:pPr>
        <w:keepNext/>
        <w:keepLines/>
        <w:rPr>
          <w:rFonts w:ascii="Tahoma" w:hAnsi="Tahoma" w:cs="Tahoma"/>
          <w:sz w:val="20"/>
          <w:u w:val="single"/>
        </w:rPr>
      </w:pPr>
    </w:p>
    <w:p w:rsidR="00140D68" w:rsidRPr="00140D68" w:rsidRDefault="00140D68" w:rsidP="00140D68">
      <w:pPr>
        <w:keepNext/>
        <w:keepLines/>
        <w:rPr>
          <w:rFonts w:ascii="Tahoma" w:hAnsi="Tahoma" w:cs="Tahoma"/>
          <w:b/>
          <w:sz w:val="20"/>
        </w:rPr>
      </w:pPr>
      <w:r w:rsidRPr="00140D68">
        <w:rPr>
          <w:rFonts w:ascii="Tahoma" w:hAnsi="Tahoma" w:cs="Tahoma"/>
          <w:b/>
          <w:sz w:val="20"/>
        </w:rPr>
        <w:t>Zahteve glede izvajanja  ukrepov na skupnih deloviščih pri naročniku</w:t>
      </w:r>
    </w:p>
    <w:p w:rsidR="00140D68" w:rsidRPr="00140D68" w:rsidRDefault="00140D68" w:rsidP="00140D68">
      <w:pPr>
        <w:keepNext/>
        <w:keepLines/>
        <w:rPr>
          <w:rFonts w:ascii="Tahoma" w:hAnsi="Tahoma" w:cs="Tahoma"/>
          <w:sz w:val="20"/>
          <w:u w:val="single"/>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Usposobljenost delavcev za varno izvajanje dela</w:t>
      </w:r>
    </w:p>
    <w:p w:rsidR="00140D68" w:rsidRPr="00140D68" w:rsidRDefault="00140D68" w:rsidP="00140D68">
      <w:pPr>
        <w:keepNext/>
        <w:keepLines/>
        <w:jc w:val="both"/>
        <w:rPr>
          <w:rFonts w:ascii="Tahoma" w:hAnsi="Tahoma" w:cs="Tahoma"/>
          <w:sz w:val="20"/>
        </w:rPr>
      </w:pPr>
      <w:r w:rsidRPr="00140D68">
        <w:rPr>
          <w:rFonts w:ascii="Tahoma" w:hAnsi="Tahoma" w:cs="Tahoma"/>
          <w:sz w:val="20"/>
        </w:rPr>
        <w:t>Na skupnih deloviščih se bodo izvajala tudi dela, kjer obstaja večje tveganje za nastanek poškodb in okvar zdravja delavcev.</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Zato morajo biti delavci izvajalca usposobljeni za varno izvajanje dela po programu, ki zajema najmanj naslednje dejavnike tveganja za poškodbe in okvare zdravja na skupnih deloviščih:</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 xml:space="preserve">poznavanje temeljnih zakonskih določb, </w:t>
      </w:r>
    </w:p>
    <w:p w:rsidR="00140D68" w:rsidRPr="00140D68" w:rsidRDefault="00140D68" w:rsidP="00140D68">
      <w:pPr>
        <w:keepNext/>
        <w:keepLines/>
        <w:numPr>
          <w:ilvl w:val="0"/>
          <w:numId w:val="30"/>
        </w:numPr>
        <w:jc w:val="both"/>
        <w:rPr>
          <w:rFonts w:ascii="Tahoma" w:hAnsi="Tahoma" w:cs="Tahoma"/>
          <w:sz w:val="20"/>
        </w:rPr>
      </w:pPr>
      <w:r w:rsidRPr="00140D68">
        <w:rPr>
          <w:rFonts w:ascii="Tahoma" w:hAnsi="Tahoma" w:cs="Tahoma"/>
          <w:sz w:val="20"/>
        </w:rPr>
        <w:t>poznavanje (internih) predpisov glede: prijavljanje poškodb pri delu, preizkus alkoholiziranosti, prva pomoč;</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poznavanje osnov o varnostnih znakih;</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poznavanje osnov iz požarnega varstva;</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poznavanje osnov varnega dela z nevarnimi snovmi;</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urejenosti delovnih mest;</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varne uporabe delovne opreme;</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varstva pri delu pred nevarnostjo električnega toka;</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uporabe osebne varovalne opreme;</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varnega dvigovanja in prenašanja bremen;</w:t>
      </w:r>
    </w:p>
    <w:p w:rsidR="00140D68" w:rsidRPr="00140D68" w:rsidRDefault="00140D68" w:rsidP="00140D68">
      <w:pPr>
        <w:keepNext/>
        <w:keepLines/>
        <w:numPr>
          <w:ilvl w:val="0"/>
          <w:numId w:val="30"/>
        </w:numPr>
        <w:rPr>
          <w:rFonts w:ascii="Tahoma" w:hAnsi="Tahoma" w:cs="Tahoma"/>
          <w:sz w:val="20"/>
        </w:rPr>
      </w:pPr>
      <w:r w:rsidRPr="00140D68">
        <w:rPr>
          <w:rFonts w:ascii="Tahoma" w:hAnsi="Tahoma" w:cs="Tahoma"/>
          <w:sz w:val="20"/>
        </w:rPr>
        <w:t>osnove varnega dela na deloviščih.</w:t>
      </w:r>
    </w:p>
    <w:p w:rsidR="00140D68" w:rsidRPr="00140D68" w:rsidRDefault="00140D68" w:rsidP="00140D68">
      <w:pPr>
        <w:keepNext/>
        <w:keepLines/>
        <w:rPr>
          <w:rFonts w:ascii="Tahoma" w:hAnsi="Tahoma" w:cs="Tahoma"/>
          <w:sz w:val="20"/>
          <w:u w:val="single"/>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Posebne usposobljenosti:</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jc w:val="both"/>
        <w:rPr>
          <w:rFonts w:ascii="Tahoma" w:hAnsi="Tahoma" w:cs="Tahoma"/>
          <w:color w:val="FF0000"/>
          <w:sz w:val="20"/>
        </w:rPr>
      </w:pPr>
      <w:r w:rsidRPr="00140D68">
        <w:rPr>
          <w:rFonts w:ascii="Tahoma" w:hAnsi="Tahoma" w:cs="Tahoma"/>
          <w:sz w:val="20"/>
        </w:rPr>
        <w:t>Vsi delavci morajo imeti veljavne (praktični in teoretični del) preizkuse znanja iz varstva pri delu, ki niso starejši od 2 (dveh) let. Usposobljeni morajo biti po programu usposabljanja, ki zajema vse nevarnosti in škodljivosti, ki jim bodo delavci izpostavljeni pri izvajanju storitev okvirnega sporazuma.</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Zdravstvena sposobnost delavcev:</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jc w:val="both"/>
        <w:rPr>
          <w:rFonts w:ascii="Tahoma" w:hAnsi="Tahoma" w:cs="Tahoma"/>
          <w:dstrike/>
          <w:color w:val="FF0000"/>
          <w:sz w:val="20"/>
        </w:rPr>
      </w:pPr>
      <w:r w:rsidRPr="00140D68">
        <w:rPr>
          <w:rFonts w:ascii="Tahoma" w:hAnsi="Tahoma" w:cs="Tahoma"/>
          <w:sz w:val="20"/>
        </w:rPr>
        <w:t xml:space="preserve">Delavci izvajalca morajo biti zdravstveno sposobni za opravljanje dela. Zato morajo imeti zdravniško spričevalo o opravljenem preventivnem zdravstvenem pregledu, kjer ni navedenih omejitev pri delih, ki jih bodo opravljali. </w:t>
      </w:r>
    </w:p>
    <w:p w:rsidR="00140D68" w:rsidRPr="00140D68" w:rsidRDefault="00140D68" w:rsidP="00140D68">
      <w:pPr>
        <w:keepNext/>
        <w:keepLines/>
        <w:jc w:val="both"/>
        <w:rPr>
          <w:rFonts w:ascii="Tahoma" w:hAnsi="Tahoma" w:cs="Tahoma"/>
          <w:sz w:val="20"/>
        </w:rPr>
      </w:pPr>
      <w:r w:rsidRPr="00140D68">
        <w:rPr>
          <w:rFonts w:ascii="Tahoma" w:hAnsi="Tahoma" w:cs="Tahoma"/>
          <w:sz w:val="20"/>
        </w:rPr>
        <w:lastRenderedPageBreak/>
        <w:t>Napotnica za zdravstveni pregled mora vsebovati dela in izpostavljenost tveganjem, ki se pričakujejo pri izvajanju storitev okvirnega sporazuma.</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Pisni sporazum na skupnih deloviščih:</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Na skupnih deloviščih določita naročnik in izvajalec skupne ukrepe za zagotavljanje varnosti in zdravja pri delu v smislu 39. člena Zakona o varnosti in zdravju pri delu.</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 xml:space="preserve">S </w:t>
      </w:r>
      <w:r w:rsidRPr="00140D68">
        <w:rPr>
          <w:rFonts w:ascii="Tahoma" w:hAnsi="Tahoma" w:cs="Tahoma"/>
          <w:b/>
          <w:sz w:val="20"/>
        </w:rPr>
        <w:t>Pisnim sporazumom</w:t>
      </w:r>
      <w:r w:rsidRPr="00140D68">
        <w:rPr>
          <w:rFonts w:ascii="Tahoma" w:hAnsi="Tahoma" w:cs="Tahoma"/>
          <w:sz w:val="20"/>
        </w:rPr>
        <w:t xml:space="preserve"> </w:t>
      </w:r>
      <w:r w:rsidRPr="00140D68">
        <w:rPr>
          <w:rFonts w:ascii="Tahoma" w:hAnsi="Tahoma" w:cs="Tahoma"/>
          <w:b/>
          <w:sz w:val="20"/>
        </w:rPr>
        <w:t>o skupnih varnostnih ukrepih in ravnanju z okoljem</w:t>
      </w:r>
      <w:r w:rsidRPr="00140D68">
        <w:rPr>
          <w:rFonts w:ascii="Tahoma" w:hAnsi="Tahoma" w:cs="Tahoma"/>
          <w:sz w:val="20"/>
        </w:rPr>
        <w:t xml:space="preserve"> naročnik in izvajalec določita tudi delavce za zagotovitev varnosti svojih delavcev na skupnem delovišču. </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Za usklajeno izvajanje ukrepov, določenih s pisnim sporazumom, določita odgovorno osebo naročnika, to je skrbnika okvirnega sporazuma.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Interni predpisi:</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Na skupnih deloviščih pri naročniku se, poleg veljavne zakonodaje, smiselno upošteva tudi interne predpise naročnika. Tako se mora izvajalec del seznaniti z določili:</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rPr>
      </w:pPr>
      <w:r w:rsidRPr="00140D68">
        <w:rPr>
          <w:rFonts w:ascii="Tahoma" w:hAnsi="Tahoma" w:cs="Tahoma"/>
          <w:sz w:val="20"/>
        </w:rPr>
        <w:t>Požarnega reda:</w:t>
      </w:r>
    </w:p>
    <w:p w:rsidR="00140D68" w:rsidRPr="00140D68" w:rsidRDefault="00140D68" w:rsidP="00140D68">
      <w:pPr>
        <w:keepNext/>
        <w:keepLines/>
        <w:numPr>
          <w:ilvl w:val="0"/>
          <w:numId w:val="29"/>
        </w:numPr>
        <w:ind w:left="426" w:hanging="426"/>
        <w:jc w:val="both"/>
        <w:rPr>
          <w:rFonts w:ascii="Tahoma" w:hAnsi="Tahoma" w:cs="Tahoma"/>
          <w:sz w:val="20"/>
        </w:rPr>
      </w:pPr>
      <w:r w:rsidRPr="00140D68">
        <w:rPr>
          <w:rFonts w:ascii="Tahoma" w:hAnsi="Tahoma" w:cs="Tahoma"/>
          <w:sz w:val="20"/>
        </w:rPr>
        <w:t>seznanitev z organizacijo varstva pred požarom pri naročniku (odgovorne osebe, osebe za izvajanje strokovnih nalog iz požarnega varstva,…),</w:t>
      </w:r>
    </w:p>
    <w:p w:rsidR="00140D68" w:rsidRPr="00140D68" w:rsidRDefault="00140D68" w:rsidP="00140D68">
      <w:pPr>
        <w:keepNext/>
        <w:keepLines/>
        <w:numPr>
          <w:ilvl w:val="0"/>
          <w:numId w:val="29"/>
        </w:numPr>
        <w:ind w:left="426" w:hanging="426"/>
        <w:jc w:val="both"/>
        <w:rPr>
          <w:rFonts w:ascii="Tahoma" w:hAnsi="Tahoma" w:cs="Tahoma"/>
          <w:sz w:val="20"/>
        </w:rPr>
      </w:pPr>
      <w:r w:rsidRPr="00140D68">
        <w:rPr>
          <w:rFonts w:ascii="Tahoma" w:hAnsi="Tahoma" w:cs="Tahoma"/>
          <w:sz w:val="20"/>
        </w:rPr>
        <w:t>izvajanje preventivnih ukrepov iz požarnega varstva (izvajanje požarnih straž – izdaja »Dovoljenja za delo z odprtim ognjem in orodjem, ki iskri«, skladiščenje in delo z vnetljivimi in eksplozivnimi snovmi, …),</w:t>
      </w:r>
    </w:p>
    <w:p w:rsidR="00140D68" w:rsidRPr="00140D68" w:rsidRDefault="00140D68" w:rsidP="00140D68">
      <w:pPr>
        <w:keepNext/>
        <w:keepLines/>
        <w:numPr>
          <w:ilvl w:val="0"/>
          <w:numId w:val="29"/>
        </w:numPr>
        <w:ind w:left="426" w:hanging="426"/>
        <w:jc w:val="both"/>
        <w:rPr>
          <w:rFonts w:ascii="Tahoma" w:hAnsi="Tahoma" w:cs="Tahoma"/>
          <w:sz w:val="20"/>
        </w:rPr>
      </w:pPr>
      <w:r w:rsidRPr="00140D68">
        <w:rPr>
          <w:rFonts w:ascii="Tahoma" w:hAnsi="Tahoma" w:cs="Tahoma"/>
          <w:sz w:val="20"/>
        </w:rPr>
        <w:t>seznanitev z izvlečki iz požarnih redov (načrtom evakuacije),</w:t>
      </w:r>
    </w:p>
    <w:p w:rsidR="00140D68" w:rsidRPr="00140D68" w:rsidRDefault="00140D68" w:rsidP="00140D68">
      <w:pPr>
        <w:keepNext/>
        <w:keepLines/>
        <w:numPr>
          <w:ilvl w:val="0"/>
          <w:numId w:val="29"/>
        </w:numPr>
        <w:ind w:left="426" w:hanging="426"/>
        <w:jc w:val="both"/>
        <w:rPr>
          <w:rFonts w:ascii="Tahoma" w:hAnsi="Tahoma" w:cs="Tahoma"/>
          <w:sz w:val="20"/>
        </w:rPr>
      </w:pPr>
      <w:r w:rsidRPr="00140D68">
        <w:rPr>
          <w:rFonts w:ascii="Tahoma" w:hAnsi="Tahoma" w:cs="Tahoma"/>
          <w:sz w:val="20"/>
        </w:rPr>
        <w:t>seznanitev z ukrepi v primeru požara (javljanje, gašenje začetnih požarov, evakuacija,…).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rPr>
      </w:pPr>
      <w:r w:rsidRPr="00140D68">
        <w:rPr>
          <w:rFonts w:ascii="Tahoma" w:hAnsi="Tahoma" w:cs="Tahoma"/>
          <w:sz w:val="20"/>
        </w:rPr>
        <w:t>Redi (ukrepi za varno delo) v delovnih prostorih naročnika: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Pri izvajanju storitev okvirnega sporazuma v posameznih delovnih prostorih mora izvajalec striktno upoštevati določila:</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obratovalnih redov,</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dvoriščnih redov,</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delavniških in drugih redov, ki so izobešeni na vidnih mestih.</w:t>
      </w:r>
    </w:p>
    <w:p w:rsidR="00140D68" w:rsidRPr="00140D68" w:rsidRDefault="00140D68" w:rsidP="00140D68">
      <w:pPr>
        <w:keepNext/>
        <w:keepLines/>
        <w:ind w:left="720"/>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Navodila za varno delo:</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Pri izvajanju storitev okvirnega sporazuma v posameznih delovnih prostorih mora izvajalec striktno upoštevati varnostna določila in navodila:</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 xml:space="preserve">obratovalne in druge rede (dvoriščni red, delavniški red, remontni red,…), </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varno delo z delovno opremo,</w:t>
      </w:r>
    </w:p>
    <w:p w:rsidR="00140D68" w:rsidRPr="00140D68" w:rsidRDefault="00140D68" w:rsidP="00140D68">
      <w:pPr>
        <w:keepNext/>
        <w:keepLines/>
        <w:numPr>
          <w:ilvl w:val="0"/>
          <w:numId w:val="28"/>
        </w:numPr>
        <w:ind w:left="426" w:hanging="426"/>
        <w:jc w:val="both"/>
        <w:rPr>
          <w:rFonts w:ascii="Tahoma" w:hAnsi="Tahoma" w:cs="Tahoma"/>
          <w:sz w:val="20"/>
        </w:rPr>
      </w:pPr>
      <w:r w:rsidRPr="00140D68">
        <w:rPr>
          <w:rFonts w:ascii="Tahoma" w:hAnsi="Tahoma" w:cs="Tahoma"/>
          <w:sz w:val="20"/>
        </w:rPr>
        <w:t>druga varnostna navodila.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Varnostni znaki:</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Izvajalec mora obvezno upoštevati varnostne znake, ki so nameščeni na vidnih mestih, ter ročne, svetlobne in zvočne znake oz. signale. Odgovoren je za postavitev ustreznih dodatnih varnostnih znakov oz. tabel, ki opozarjajo na nevarnosti in/ali prepovedujejo dostop v nevarna območja. Posebej nevarna mesta mora tudi ustrezno osvetliti, predvsem v prostorih kjer ni dovolj naravne svetlobe in v nočnem času oz. megli.</w:t>
      </w:r>
    </w:p>
    <w:p w:rsidR="00140D68" w:rsidRDefault="00140D68" w:rsidP="00140D68">
      <w:pPr>
        <w:keepNext/>
        <w:keepLines/>
        <w:rPr>
          <w:rFonts w:ascii="Tahoma" w:hAnsi="Tahoma" w:cs="Tahoma"/>
          <w:sz w:val="20"/>
        </w:rPr>
      </w:pPr>
    </w:p>
    <w:p w:rsidR="00140D68" w:rsidRDefault="00140D68" w:rsidP="00140D68">
      <w:pPr>
        <w:keepNext/>
        <w:keepLines/>
        <w:rPr>
          <w:rFonts w:ascii="Tahoma" w:hAnsi="Tahoma" w:cs="Tahoma"/>
          <w:sz w:val="20"/>
        </w:rPr>
      </w:pPr>
    </w:p>
    <w:p w:rsidR="00140D68" w:rsidRDefault="00140D68" w:rsidP="00140D68">
      <w:pPr>
        <w:keepNext/>
        <w:keepLines/>
        <w:rPr>
          <w:rFonts w:ascii="Tahoma" w:hAnsi="Tahoma" w:cs="Tahoma"/>
          <w:sz w:val="20"/>
        </w:rPr>
      </w:pPr>
    </w:p>
    <w:p w:rsid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lastRenderedPageBreak/>
        <w:t>Osebna varovalna oprema:</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jc w:val="both"/>
        <w:rPr>
          <w:rFonts w:ascii="Tahoma" w:hAnsi="Tahoma" w:cs="Tahoma"/>
          <w:color w:val="FF0000"/>
          <w:sz w:val="20"/>
        </w:rPr>
      </w:pPr>
      <w:r w:rsidRPr="00140D68">
        <w:rPr>
          <w:rFonts w:ascii="Tahoma" w:hAnsi="Tahoma" w:cs="Tahoma"/>
          <w:sz w:val="20"/>
        </w:rPr>
        <w:t>Delavci izvajalca so dolžni na skupnih deloviščih namensko, glede na vrsto tveganja za poškodbe oziroma okvare zdravja, uporabljati lastno osebno varovalno opremo, ki je skladna z veljavnimi standardi in redno pregledana.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Delovna oprema:</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Delovna oprema, ki bo uporabljena za izvedbo storitev po okvirnem sporazumu mora biti skladna s predpisi.</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 xml:space="preserve">Delo na višini </w:t>
      </w:r>
    </w:p>
    <w:p w:rsidR="00140D68" w:rsidRPr="00140D68" w:rsidRDefault="00140D68" w:rsidP="00140D68">
      <w:pPr>
        <w:keepNext/>
        <w:keepLines/>
        <w:rPr>
          <w:rFonts w:ascii="Tahoma" w:hAnsi="Tahoma" w:cs="Tahoma"/>
          <w:sz w:val="20"/>
          <w:u w:val="single"/>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Za zagotovitev varnega dela na višini oz. za izvedbo varnostnih ukrepov za preprečitev padcev z višine oz. v globino, v skladu z Uredbo o zagotavljanju varnosti in zdravja pri delu na začasnih in premičnih gradbiščih (Ur. l. RS, št. 83/05) oz. (Uredbo), je odgovoren izvajalec. Delovna mesta in delavce na višini oz. nad globino je izvajalec dolžan zavarovati v skladu z Uredbo, prav tako je dolžan ustrezno fizično zavarovati in označiti območje pod izvajanjem dela na višini, nevarne odprtine je potrebno ustrezno pokriti. Izvajalec mora na nezavarovanih višinah, oz. kjer je to potrebno, za vsakega delavca zagotoviti uporabo ustreznega varnostnega pasu za delo na višini z ustreznim privezom.</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u w:val="single"/>
        </w:rPr>
      </w:pPr>
      <w:r w:rsidRPr="00140D68">
        <w:rPr>
          <w:rFonts w:ascii="Tahoma" w:hAnsi="Tahoma" w:cs="Tahoma"/>
          <w:sz w:val="20"/>
          <w:u w:val="single"/>
        </w:rPr>
        <w:t>Odri</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Kovinski, premični, lovilni in drugi odri za delo na višini morajo biti izvedeni brezhibno in pred pričetkom uporabe pregledani. V kolikor odre postavlja za izvajalca drugi izvajalec, je potrebno pred pričetkom del pisno prevzeti, tako da od izvajalca odrov pridobi ustrezno dokumentacijo za odre (kontrolni list, načrt, statični izračun, izjavo o skladnosti).</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u w:val="single"/>
        </w:rPr>
      </w:pPr>
      <w:r w:rsidRPr="00140D68">
        <w:rPr>
          <w:rFonts w:ascii="Tahoma" w:hAnsi="Tahoma" w:cs="Tahoma"/>
          <w:sz w:val="20"/>
          <w:u w:val="single"/>
        </w:rPr>
        <w:t>Izkopi in nevarne odprtine</w:t>
      </w:r>
    </w:p>
    <w:p w:rsidR="00140D68" w:rsidRPr="00140D68" w:rsidRDefault="00140D68" w:rsidP="00140D68">
      <w:pPr>
        <w:keepNext/>
        <w:keepLines/>
        <w:jc w:val="both"/>
        <w:rPr>
          <w:rFonts w:ascii="Tahoma" w:hAnsi="Tahoma" w:cs="Tahoma"/>
          <w:sz w:val="20"/>
          <w:u w:val="single"/>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Izkope in nevarne odprtine mora izvajalec, skladno z uredbo, ustrezno zavarovati s postavitvijo ustrezno trdnih in visokih varovalnih ograj, ki preprečujejo padce.</w:t>
      </w:r>
    </w:p>
    <w:p w:rsidR="00140D68" w:rsidRPr="00140D68" w:rsidRDefault="00140D68" w:rsidP="00140D68">
      <w:pPr>
        <w:keepNext/>
        <w:keepLines/>
        <w:jc w:val="both"/>
        <w:rPr>
          <w:rFonts w:ascii="Tahoma" w:hAnsi="Tahoma" w:cs="Tahoma"/>
          <w:sz w:val="20"/>
        </w:rPr>
      </w:pPr>
      <w:r w:rsidRPr="00140D68">
        <w:rPr>
          <w:rFonts w:ascii="Tahoma" w:hAnsi="Tahoma" w:cs="Tahoma"/>
          <w:sz w:val="20"/>
        </w:rPr>
        <w:t xml:space="preserve">Izkope je potrebno ustrezno zavarovati pred zasutjem (razpiranje, </w:t>
      </w:r>
      <w:proofErr w:type="spellStart"/>
      <w:r w:rsidRPr="00140D68">
        <w:rPr>
          <w:rFonts w:ascii="Tahoma" w:hAnsi="Tahoma" w:cs="Tahoma"/>
          <w:sz w:val="20"/>
        </w:rPr>
        <w:t>zagatnice</w:t>
      </w:r>
      <w:proofErr w:type="spellEnd"/>
      <w:r w:rsidRPr="00140D68">
        <w:rPr>
          <w:rFonts w:ascii="Tahoma" w:hAnsi="Tahoma" w:cs="Tahoma"/>
          <w:sz w:val="20"/>
        </w:rPr>
        <w:t>, prepoved odlaganja 1 m od roba izkopa, itd.).</w:t>
      </w:r>
    </w:p>
    <w:p w:rsidR="00140D68" w:rsidRPr="00140D68" w:rsidRDefault="00140D68" w:rsidP="00140D68">
      <w:pPr>
        <w:keepNext/>
        <w:keepLines/>
        <w:rPr>
          <w:rFonts w:ascii="Tahoma" w:hAnsi="Tahoma" w:cs="Tahoma"/>
          <w:sz w:val="20"/>
        </w:rPr>
      </w:pPr>
    </w:p>
    <w:p w:rsidR="00140D68" w:rsidRPr="00140D68" w:rsidRDefault="00140D68" w:rsidP="00140D68">
      <w:pPr>
        <w:keepNext/>
        <w:keepLines/>
        <w:rPr>
          <w:rFonts w:ascii="Tahoma" w:hAnsi="Tahoma" w:cs="Tahoma"/>
          <w:sz w:val="20"/>
        </w:rPr>
      </w:pPr>
      <w:r w:rsidRPr="00140D68">
        <w:rPr>
          <w:rFonts w:ascii="Tahoma" w:hAnsi="Tahoma" w:cs="Tahoma"/>
          <w:sz w:val="20"/>
          <w:u w:val="single"/>
        </w:rPr>
        <w:t>Snovi in pripravki</w:t>
      </w:r>
      <w:r w:rsidRPr="00140D68">
        <w:rPr>
          <w:rFonts w:ascii="Tahoma" w:hAnsi="Tahoma" w:cs="Tahoma"/>
          <w:sz w:val="20"/>
        </w:rPr>
        <w:t>:</w:t>
      </w:r>
    </w:p>
    <w:p w:rsidR="00140D68" w:rsidRPr="00140D68" w:rsidRDefault="00140D68" w:rsidP="00140D68">
      <w:pPr>
        <w:keepNext/>
        <w:keepLines/>
        <w:rPr>
          <w:rFonts w:ascii="Tahoma" w:hAnsi="Tahoma" w:cs="Tahoma"/>
          <w:sz w:val="20"/>
        </w:rPr>
      </w:pPr>
    </w:p>
    <w:p w:rsidR="00140D68" w:rsidRPr="00140D68" w:rsidRDefault="00140D68" w:rsidP="00140D68">
      <w:pPr>
        <w:keepNext/>
        <w:keepLines/>
        <w:jc w:val="both"/>
        <w:rPr>
          <w:rFonts w:ascii="Tahoma" w:hAnsi="Tahoma" w:cs="Tahoma"/>
          <w:color w:val="FF0000"/>
          <w:sz w:val="20"/>
        </w:rPr>
      </w:pPr>
      <w:r w:rsidRPr="00140D68">
        <w:rPr>
          <w:rFonts w:ascii="Tahoma" w:hAnsi="Tahoma" w:cs="Tahoma"/>
          <w:sz w:val="20"/>
        </w:rPr>
        <w:t>Pri uporabi kemičnih snovi in pripravkov mora izvajalec predložiti varnostne liste v slovenskem jeziku. Varnostne liste predloži skrbniku okvirnega sporazuma, ki po potrebi v sodelovanju s strokovnjakom za varstvo pri delu, določita varnostne ukrepe, ki izhajajo iz vsebine varnostnih listov.</w:t>
      </w:r>
    </w:p>
    <w:p w:rsidR="00140D68" w:rsidRPr="00140D68" w:rsidRDefault="00140D68" w:rsidP="00140D68">
      <w:pPr>
        <w:keepNext/>
        <w:keepLines/>
        <w:rPr>
          <w:rFonts w:ascii="Tahoma" w:hAnsi="Tahoma" w:cs="Tahoma"/>
          <w:b/>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u w:val="single"/>
        </w:rPr>
        <w:t>Organizacija prve pomoči in reševanja poškodovanega/naglo obolelega delavca:</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jc w:val="both"/>
        <w:rPr>
          <w:rFonts w:ascii="Tahoma" w:hAnsi="Tahoma" w:cs="Tahoma"/>
          <w:sz w:val="20"/>
        </w:rPr>
      </w:pPr>
      <w:r w:rsidRPr="00140D68">
        <w:rPr>
          <w:rFonts w:ascii="Tahoma" w:hAnsi="Tahoma" w:cs="Tahoma"/>
          <w:sz w:val="20"/>
        </w:rPr>
        <w:t>Izvajalec del mora imeti strokovno usposobljeno osebo za nudenje prve pomoči in obvezno količino materiala za prvo pomoč na delovišču.</w:t>
      </w:r>
    </w:p>
    <w:p w:rsidR="00140D68" w:rsidRPr="00140D68" w:rsidRDefault="00140D68" w:rsidP="00140D68">
      <w:pPr>
        <w:keepNext/>
        <w:keepLines/>
        <w:jc w:val="both"/>
        <w:rPr>
          <w:rFonts w:ascii="Tahoma" w:hAnsi="Tahoma" w:cs="Tahoma"/>
          <w:sz w:val="20"/>
        </w:rPr>
      </w:pPr>
    </w:p>
    <w:p w:rsidR="00140D68" w:rsidRPr="00140D68" w:rsidRDefault="00140D68" w:rsidP="00140D68">
      <w:pPr>
        <w:keepNext/>
        <w:keepLines/>
        <w:rPr>
          <w:rFonts w:ascii="Tahoma" w:hAnsi="Tahoma" w:cs="Tahoma"/>
          <w:sz w:val="20"/>
          <w:u w:val="single"/>
        </w:rPr>
      </w:pPr>
      <w:r w:rsidRPr="00140D68">
        <w:rPr>
          <w:rFonts w:ascii="Tahoma" w:hAnsi="Tahoma" w:cs="Tahoma"/>
          <w:sz w:val="20"/>
          <w:u w:val="single"/>
        </w:rPr>
        <w:t>Ukrepi za zaščito pred okužbo z virusom SARS-CoV-2:</w:t>
      </w:r>
    </w:p>
    <w:p w:rsidR="00140D68" w:rsidRPr="00140D68" w:rsidRDefault="00140D68" w:rsidP="00140D68">
      <w:pPr>
        <w:keepNext/>
        <w:keepLines/>
        <w:rPr>
          <w:rFonts w:ascii="Tahoma" w:hAnsi="Tahoma" w:cs="Tahoma"/>
          <w:sz w:val="20"/>
        </w:rPr>
      </w:pPr>
    </w:p>
    <w:p w:rsidR="00140D68" w:rsidRPr="005E4470" w:rsidRDefault="00140D68" w:rsidP="00140D68">
      <w:pPr>
        <w:keepNext/>
        <w:keepLines/>
        <w:jc w:val="both"/>
        <w:rPr>
          <w:rFonts w:ascii="Tahoma" w:hAnsi="Tahoma" w:cs="Tahoma"/>
          <w:sz w:val="22"/>
          <w:szCs w:val="22"/>
        </w:rPr>
      </w:pPr>
      <w:r w:rsidRPr="00140D68">
        <w:rPr>
          <w:rFonts w:ascii="Tahoma" w:hAnsi="Tahoma" w:cs="Tahoma"/>
          <w:sz w:val="20"/>
        </w:rPr>
        <w:t>Izvajalec storitev mora strogo spoštovati ukrepe, ki bodo morebiti v veljavi v času izvajanja storitev. Tu so mišljeni sprejeti ukrepi v JPE in zadostna količina zahtevane osebne varovalne opreme (OVO), ki jo mora izvajalec zagotoviti svojim delavcem. OVO mora biti skladna z zahtevami stroke.</w:t>
      </w:r>
      <w:r>
        <w:rPr>
          <w:rFonts w:ascii="Tahoma" w:hAnsi="Tahoma" w:cs="Tahoma"/>
          <w:sz w:val="20"/>
        </w:rPr>
        <w:t>«</w:t>
      </w:r>
    </w:p>
    <w:p w:rsidR="00D468E3" w:rsidRDefault="00D468E3" w:rsidP="003A1A28">
      <w:pPr>
        <w:keepNext/>
        <w:keepLines/>
        <w:tabs>
          <w:tab w:val="left" w:pos="8505"/>
        </w:tabs>
        <w:spacing w:after="120"/>
        <w:jc w:val="both"/>
        <w:rPr>
          <w:rFonts w:ascii="Tahoma" w:hAnsi="Tahoma" w:cs="Tahoma"/>
          <w:sz w:val="20"/>
          <w:highlight w:val="yellow"/>
        </w:rPr>
      </w:pPr>
    </w:p>
    <w:p w:rsidR="00D468E3" w:rsidRDefault="00D468E3" w:rsidP="003A1A28">
      <w:pPr>
        <w:keepNext/>
        <w:keepLines/>
        <w:tabs>
          <w:tab w:val="left" w:pos="8505"/>
        </w:tabs>
        <w:spacing w:after="120"/>
        <w:jc w:val="both"/>
        <w:rPr>
          <w:rFonts w:ascii="Tahoma" w:hAnsi="Tahoma" w:cs="Tahoma"/>
          <w:sz w:val="20"/>
          <w:highlight w:val="yellow"/>
        </w:rPr>
      </w:pPr>
    </w:p>
    <w:p w:rsidR="00D468E3" w:rsidRDefault="00D468E3" w:rsidP="003A1A28">
      <w:pPr>
        <w:keepNext/>
        <w:keepLines/>
        <w:tabs>
          <w:tab w:val="left" w:pos="8505"/>
        </w:tabs>
        <w:spacing w:after="120"/>
        <w:jc w:val="both"/>
        <w:rPr>
          <w:rFonts w:ascii="Tahoma" w:hAnsi="Tahoma" w:cs="Tahoma"/>
          <w:sz w:val="20"/>
          <w:highlight w:val="yellow"/>
        </w:rPr>
      </w:pPr>
    </w:p>
    <w:p w:rsidR="00ED0B73" w:rsidRDefault="00ED0B73" w:rsidP="003A1A28">
      <w:pPr>
        <w:keepNext/>
        <w:keepLines/>
        <w:tabs>
          <w:tab w:val="left" w:pos="8505"/>
        </w:tabs>
        <w:spacing w:after="120"/>
        <w:jc w:val="both"/>
        <w:rPr>
          <w:rFonts w:ascii="Tahoma" w:hAnsi="Tahoma" w:cs="Tahoma"/>
          <w:sz w:val="20"/>
          <w:highlight w:val="yellow"/>
        </w:rPr>
      </w:pPr>
    </w:p>
    <w:p w:rsidR="00ED0B73" w:rsidRDefault="00ED0B73" w:rsidP="003A1A28">
      <w:pPr>
        <w:keepNext/>
        <w:keepLines/>
        <w:tabs>
          <w:tab w:val="left" w:pos="8505"/>
        </w:tabs>
        <w:spacing w:after="120"/>
        <w:jc w:val="both"/>
        <w:rPr>
          <w:rFonts w:ascii="Tahoma" w:hAnsi="Tahoma" w:cs="Tahoma"/>
          <w:sz w:val="20"/>
          <w:highlight w:val="yellow"/>
        </w:rPr>
      </w:pPr>
    </w:p>
    <w:p w:rsidR="00240C29" w:rsidRDefault="00240C29" w:rsidP="00240C29">
      <w:pPr>
        <w:pStyle w:val="Odstavekseznama"/>
        <w:keepNext/>
        <w:keepLines/>
        <w:numPr>
          <w:ilvl w:val="0"/>
          <w:numId w:val="32"/>
        </w:numPr>
        <w:tabs>
          <w:tab w:val="left" w:pos="8505"/>
        </w:tabs>
        <w:spacing w:after="120"/>
        <w:ind w:left="426" w:hanging="426"/>
        <w:jc w:val="both"/>
        <w:rPr>
          <w:rFonts w:ascii="Tahoma" w:hAnsi="Tahoma" w:cs="Tahoma"/>
          <w:sz w:val="20"/>
        </w:rPr>
      </w:pPr>
      <w:r w:rsidRPr="00240C29">
        <w:rPr>
          <w:rFonts w:ascii="Tahoma" w:hAnsi="Tahoma" w:cs="Tahoma"/>
          <w:sz w:val="20"/>
          <w:highlight w:val="yellow"/>
        </w:rPr>
        <w:t xml:space="preserve">Naročnik spreminja razpisno dokumentacijo na način, da se </w:t>
      </w:r>
      <w:r>
        <w:rPr>
          <w:rFonts w:ascii="Tahoma" w:hAnsi="Tahoma" w:cs="Tahoma"/>
          <w:sz w:val="20"/>
          <w:highlight w:val="yellow"/>
        </w:rPr>
        <w:t xml:space="preserve">v celoti </w:t>
      </w:r>
      <w:r w:rsidRPr="00240C29">
        <w:rPr>
          <w:rFonts w:ascii="Tahoma" w:hAnsi="Tahoma" w:cs="Tahoma"/>
          <w:sz w:val="20"/>
          <w:highlight w:val="yellow"/>
        </w:rPr>
        <w:t xml:space="preserve">briše </w:t>
      </w:r>
      <w:r>
        <w:rPr>
          <w:rFonts w:ascii="Tahoma" w:hAnsi="Tahoma" w:cs="Tahoma"/>
          <w:sz w:val="20"/>
          <w:highlight w:val="yellow"/>
        </w:rPr>
        <w:t xml:space="preserve">Priloga št. 4 k Okvirnemu sporazumu št. JHL-23/20-JPE (PISNI SPORAZUM – velja sklop 1 JPE) in se jo nadomestni z novo </w:t>
      </w:r>
      <w:r w:rsidRPr="002C0317">
        <w:rPr>
          <w:rFonts w:ascii="Tahoma" w:hAnsi="Tahoma" w:cs="Tahoma"/>
          <w:sz w:val="20"/>
          <w:highlight w:val="yellow"/>
        </w:rPr>
        <w:t>Prilogo št. 4</w:t>
      </w:r>
      <w:r w:rsidRPr="002C0317">
        <w:rPr>
          <w:rFonts w:ascii="Tahoma" w:hAnsi="Tahoma" w:cs="Tahoma"/>
          <w:sz w:val="20"/>
          <w:highlight w:val="yellow"/>
        </w:rPr>
        <w:fldChar w:fldCharType="begin"/>
      </w:r>
      <w:r w:rsidRPr="002C0317">
        <w:rPr>
          <w:rFonts w:ascii="Tahoma" w:hAnsi="Tahoma" w:cs="Tahoma"/>
          <w:sz w:val="20"/>
          <w:highlight w:val="yellow"/>
        </w:rPr>
        <w:instrText xml:space="preserve"> FILLIN  \* MERGEFORMAT </w:instrText>
      </w:r>
      <w:r w:rsidRPr="002C0317">
        <w:rPr>
          <w:rFonts w:ascii="Tahoma" w:hAnsi="Tahoma" w:cs="Tahoma"/>
          <w:sz w:val="20"/>
          <w:highlight w:val="yellow"/>
        </w:rPr>
        <w:fldChar w:fldCharType="end"/>
      </w:r>
      <w:r w:rsidRPr="002C0317">
        <w:rPr>
          <w:rFonts w:ascii="Tahoma" w:hAnsi="Tahoma" w:cs="Tahoma"/>
          <w:sz w:val="20"/>
          <w:highlight w:val="yellow"/>
        </w:rPr>
        <w:t xml:space="preserve"> k okvirnemu sporazumu št. JHL-23/20-JPE (</w:t>
      </w:r>
      <w:r w:rsidR="002C0317" w:rsidRPr="002C0317">
        <w:rPr>
          <w:rFonts w:ascii="Tahoma" w:hAnsi="Tahoma" w:cs="Tahoma"/>
          <w:sz w:val="20"/>
          <w:highlight w:val="yellow"/>
        </w:rPr>
        <w:t>PISNI SPORAZUM - velja za SKLOP 1 JPE</w:t>
      </w:r>
      <w:r w:rsidRPr="002C0317">
        <w:rPr>
          <w:rFonts w:ascii="Tahoma" w:hAnsi="Tahoma" w:cs="Tahoma"/>
          <w:sz w:val="20"/>
          <w:highlight w:val="yellow"/>
        </w:rPr>
        <w:t xml:space="preserve">), ki je </w:t>
      </w:r>
      <w:r w:rsidR="002C0317" w:rsidRPr="002C0317">
        <w:rPr>
          <w:rFonts w:ascii="Tahoma" w:hAnsi="Tahoma" w:cs="Tahoma"/>
          <w:sz w:val="20"/>
          <w:highlight w:val="yellow"/>
        </w:rPr>
        <w:t>kot priloga sestav</w:t>
      </w:r>
      <w:r w:rsidR="002C0317">
        <w:rPr>
          <w:rFonts w:ascii="Tahoma" w:hAnsi="Tahoma" w:cs="Tahoma"/>
          <w:sz w:val="20"/>
          <w:highlight w:val="yellow"/>
        </w:rPr>
        <w:t>ni del tega dokumenta (</w:t>
      </w:r>
      <w:r w:rsidR="00304CF9">
        <w:rPr>
          <w:rFonts w:ascii="Tahoma" w:hAnsi="Tahoma" w:cs="Tahoma"/>
          <w:sz w:val="20"/>
          <w:highlight w:val="yellow"/>
        </w:rPr>
        <w:t>spremembe</w:t>
      </w:r>
      <w:r w:rsidR="002C0317" w:rsidRPr="002C0317">
        <w:rPr>
          <w:rFonts w:ascii="Tahoma" w:hAnsi="Tahoma" w:cs="Tahoma"/>
          <w:sz w:val="20"/>
          <w:highlight w:val="yellow"/>
        </w:rPr>
        <w:t xml:space="preserve"> razpisne dokumentacije 31. 12 2020</w:t>
      </w:r>
      <w:r w:rsidR="00304CF9">
        <w:rPr>
          <w:rFonts w:ascii="Tahoma" w:hAnsi="Tahoma" w:cs="Tahoma"/>
          <w:sz w:val="20"/>
          <w:highlight w:val="yellow"/>
        </w:rPr>
        <w:t>) in je ponudnikom na voljo na spletni strani, na mestu, kjer je objavljena razpisna dokumentacija.</w:t>
      </w:r>
    </w:p>
    <w:p w:rsidR="002C0317" w:rsidRPr="002C0317" w:rsidRDefault="002C0317" w:rsidP="002C0317">
      <w:pPr>
        <w:keepNext/>
        <w:keepLines/>
        <w:tabs>
          <w:tab w:val="left" w:pos="8505"/>
        </w:tabs>
        <w:spacing w:after="120"/>
        <w:jc w:val="both"/>
        <w:rPr>
          <w:rFonts w:ascii="Tahoma" w:hAnsi="Tahoma" w:cs="Tahoma"/>
          <w:sz w:val="20"/>
        </w:rPr>
      </w:pPr>
    </w:p>
    <w:p w:rsidR="002C0317" w:rsidRPr="003279FB" w:rsidRDefault="002C0317" w:rsidP="003279FB">
      <w:pPr>
        <w:pStyle w:val="Odstavekseznama"/>
        <w:keepNext/>
        <w:keepLines/>
        <w:numPr>
          <w:ilvl w:val="0"/>
          <w:numId w:val="32"/>
        </w:numPr>
        <w:tabs>
          <w:tab w:val="left" w:pos="8505"/>
        </w:tabs>
        <w:spacing w:after="120"/>
        <w:ind w:left="426" w:hanging="426"/>
        <w:jc w:val="both"/>
        <w:rPr>
          <w:rFonts w:ascii="Tahoma" w:hAnsi="Tahoma" w:cs="Tahoma"/>
          <w:sz w:val="20"/>
        </w:rPr>
      </w:pPr>
      <w:r w:rsidRPr="00240C29">
        <w:rPr>
          <w:rFonts w:ascii="Tahoma" w:hAnsi="Tahoma" w:cs="Tahoma"/>
          <w:sz w:val="20"/>
          <w:highlight w:val="yellow"/>
        </w:rPr>
        <w:t xml:space="preserve">Naročnik spreminja razpisno dokumentacijo na način, </w:t>
      </w:r>
      <w:r w:rsidRPr="003279FB">
        <w:rPr>
          <w:rFonts w:ascii="Tahoma" w:hAnsi="Tahoma" w:cs="Tahoma"/>
          <w:sz w:val="20"/>
          <w:highlight w:val="yellow"/>
        </w:rPr>
        <w:t xml:space="preserve">da se briše </w:t>
      </w:r>
      <w:r w:rsidR="003279FB" w:rsidRPr="003279FB">
        <w:rPr>
          <w:rFonts w:ascii="Tahoma" w:hAnsi="Tahoma" w:cs="Tahoma"/>
          <w:sz w:val="20"/>
          <w:highlight w:val="yellow"/>
        </w:rPr>
        <w:t xml:space="preserve">druga alineja 13. člena osnutka okvirnega sporazuma in briše </w:t>
      </w:r>
      <w:r w:rsidRPr="003279FB">
        <w:rPr>
          <w:rFonts w:ascii="Tahoma" w:hAnsi="Tahoma" w:cs="Tahoma"/>
          <w:sz w:val="20"/>
          <w:highlight w:val="yellow"/>
        </w:rPr>
        <w:t>celotno besedilo 25. člena osnutka okvirnega sporazuma (XI. ZAGOTAVLJANJA VARNOSTI NA DELOVIŠČU</w:t>
      </w:r>
      <w:r w:rsidR="003279FB" w:rsidRPr="003279FB">
        <w:rPr>
          <w:rFonts w:ascii="Tahoma" w:hAnsi="Tahoma" w:cs="Tahoma"/>
          <w:sz w:val="20"/>
          <w:highlight w:val="yellow"/>
        </w:rPr>
        <w:t xml:space="preserve"> (Sklop 1:JPE))</w:t>
      </w:r>
      <w:r w:rsidRPr="003279FB">
        <w:rPr>
          <w:rFonts w:ascii="Tahoma" w:hAnsi="Tahoma" w:cs="Tahoma"/>
          <w:sz w:val="20"/>
          <w:highlight w:val="yellow"/>
        </w:rPr>
        <w:t>, ki se ga nadomesti z naslednjim besedilom:</w:t>
      </w:r>
    </w:p>
    <w:p w:rsidR="003279FB" w:rsidRPr="003279FB" w:rsidRDefault="003279FB" w:rsidP="003279FB">
      <w:pPr>
        <w:keepNext/>
        <w:keepLines/>
        <w:tabs>
          <w:tab w:val="left" w:pos="709"/>
          <w:tab w:val="left" w:pos="1702"/>
        </w:tabs>
        <w:jc w:val="both"/>
        <w:rPr>
          <w:rFonts w:ascii="Tahoma" w:hAnsi="Tahoma"/>
          <w:sz w:val="20"/>
        </w:rPr>
      </w:pPr>
      <w:r>
        <w:rPr>
          <w:rFonts w:ascii="Tahoma" w:hAnsi="Tahoma" w:cs="Tahoma"/>
          <w:sz w:val="20"/>
        </w:rPr>
        <w:t>»</w:t>
      </w:r>
      <w:r w:rsidRPr="003279FB">
        <w:rPr>
          <w:rFonts w:ascii="Tahoma" w:hAnsi="Tahoma"/>
          <w:sz w:val="20"/>
        </w:rPr>
        <w:t>Izvajalec in naročnik morata pred začetkom izvajanja storitev skleniti Pisni sporazum o skupnih varnostnih ukrepih in ravnanju z okoljem v JAVNEM PODJETJU ENERGETIKA LJUBLJANA d. o. o., ki je priloga št. 4 tega okvirnega sporazuma</w:t>
      </w:r>
      <w:r w:rsidRPr="003279FB">
        <w:rPr>
          <w:rFonts w:ascii="Tahoma" w:hAnsi="Tahoma" w:cs="Tahoma"/>
          <w:bCs/>
          <w:sz w:val="20"/>
        </w:rPr>
        <w:t xml:space="preserve"> in sestavni del tega okvirnega sporazuma</w:t>
      </w:r>
      <w:r w:rsidRPr="003279FB">
        <w:rPr>
          <w:rFonts w:ascii="Tahoma" w:hAnsi="Tahoma"/>
          <w:sz w:val="20"/>
        </w:rPr>
        <w:t>.</w:t>
      </w:r>
    </w:p>
    <w:p w:rsidR="003279FB" w:rsidRPr="003279FB" w:rsidRDefault="003279FB" w:rsidP="003279FB">
      <w:pPr>
        <w:keepNext/>
        <w:keepLines/>
        <w:tabs>
          <w:tab w:val="left" w:pos="709"/>
          <w:tab w:val="left" w:pos="1702"/>
        </w:tabs>
        <w:jc w:val="both"/>
        <w:rPr>
          <w:rFonts w:ascii="Tahoma" w:hAnsi="Tahoma"/>
          <w:sz w:val="20"/>
        </w:rPr>
      </w:pPr>
    </w:p>
    <w:p w:rsidR="003279FB" w:rsidRPr="003279FB" w:rsidRDefault="003279FB" w:rsidP="003279FB">
      <w:pPr>
        <w:keepNext/>
        <w:keepLines/>
        <w:tabs>
          <w:tab w:val="left" w:pos="709"/>
          <w:tab w:val="left" w:pos="1702"/>
        </w:tabs>
        <w:jc w:val="both"/>
        <w:rPr>
          <w:rFonts w:ascii="Tahoma" w:hAnsi="Tahoma"/>
          <w:sz w:val="20"/>
        </w:rPr>
      </w:pPr>
      <w:r w:rsidRPr="003279FB">
        <w:rPr>
          <w:rFonts w:ascii="Tahoma" w:hAnsi="Tahoma"/>
          <w:sz w:val="20"/>
        </w:rPr>
        <w:t xml:space="preserve">Odgovorne osebe izvajalca in naročnika iz Pisnega sporazuma o skupnih varnostnih ukrepih in ravnanju z okoljem v JAVNEM PODJETJU ENERGETIKA LJUBLJANA d. o. o. se sestanejo pred začetkom izvajanja storitev in določijo konkretne skupne varnostne ukrepe na osnovi ugotovljenih nevarnosti za varnost in zdravje delavcev pri morebitnem medsebojnem ogrožanju iz priloge pisnega sporazuma o skupnih varnostnih ukrepih in ravnanju z okoljem v JAVNEM PODJETJU ENERGETIKA LJUBLJANA, d. o. o. </w:t>
      </w:r>
    </w:p>
    <w:p w:rsidR="003279FB" w:rsidRPr="003279FB" w:rsidRDefault="003279FB" w:rsidP="003279FB">
      <w:pPr>
        <w:keepNext/>
        <w:keepLines/>
        <w:tabs>
          <w:tab w:val="left" w:pos="709"/>
          <w:tab w:val="left" w:pos="1702"/>
        </w:tabs>
        <w:jc w:val="both"/>
        <w:rPr>
          <w:rFonts w:ascii="Tahoma" w:hAnsi="Tahoma"/>
          <w:sz w:val="20"/>
        </w:rPr>
      </w:pPr>
    </w:p>
    <w:p w:rsidR="003279FB" w:rsidRPr="003279FB" w:rsidRDefault="003279FB" w:rsidP="003279FB">
      <w:pPr>
        <w:keepNext/>
        <w:keepLines/>
        <w:jc w:val="both"/>
        <w:rPr>
          <w:rFonts w:ascii="Tahoma" w:hAnsi="Tahoma" w:cs="Tahoma"/>
          <w:sz w:val="20"/>
        </w:rPr>
      </w:pPr>
      <w:r w:rsidRPr="003279FB">
        <w:rPr>
          <w:rFonts w:ascii="Tahoma" w:hAnsi="Tahoma" w:cs="Tahoma"/>
          <w:sz w:val="20"/>
        </w:rPr>
        <w:t>Stranki okvirnega sporazuma soglašata:</w:t>
      </w:r>
    </w:p>
    <w:p w:rsidR="003279FB" w:rsidRPr="003279FB" w:rsidRDefault="003279FB" w:rsidP="003279FB">
      <w:pPr>
        <w:keepNext/>
        <w:keepLines/>
        <w:numPr>
          <w:ilvl w:val="0"/>
          <w:numId w:val="33"/>
        </w:numPr>
        <w:tabs>
          <w:tab w:val="left" w:pos="426"/>
        </w:tabs>
        <w:ind w:left="426" w:hanging="426"/>
        <w:jc w:val="both"/>
        <w:rPr>
          <w:rFonts w:ascii="Tahoma" w:hAnsi="Tahoma" w:cs="Tahoma"/>
          <w:sz w:val="20"/>
        </w:rPr>
      </w:pPr>
      <w:r w:rsidRPr="003279FB">
        <w:rPr>
          <w:rFonts w:ascii="Tahoma" w:hAnsi="Tahoma" w:cs="Tahoma"/>
          <w:sz w:val="20"/>
        </w:rPr>
        <w:t>da bosta pri izvajanju storitev spoštovali določila tega pisnega sporazuma.</w:t>
      </w:r>
    </w:p>
    <w:p w:rsidR="003279FB" w:rsidRPr="003279FB" w:rsidRDefault="003279FB" w:rsidP="003279FB">
      <w:pPr>
        <w:keepNext/>
        <w:keepLines/>
        <w:numPr>
          <w:ilvl w:val="0"/>
          <w:numId w:val="33"/>
        </w:numPr>
        <w:tabs>
          <w:tab w:val="left" w:pos="426"/>
        </w:tabs>
        <w:ind w:left="426" w:hanging="426"/>
        <w:jc w:val="both"/>
        <w:rPr>
          <w:rFonts w:ascii="Tahoma" w:hAnsi="Tahoma" w:cs="Tahoma"/>
          <w:sz w:val="20"/>
        </w:rPr>
      </w:pPr>
      <w:r w:rsidRPr="003279FB">
        <w:rPr>
          <w:rFonts w:ascii="Tahoma" w:hAnsi="Tahoma" w:cs="Tahoma"/>
          <w:sz w:val="20"/>
        </w:rPr>
        <w:t xml:space="preserve">da za zagotavljanje usklajenega izvajanja ukrepov na skupnem delovišču, določata odgovorno osebo naročnika, ki bo odgovorna za »Izvajanje ukrepov VPD in </w:t>
      </w:r>
      <w:proofErr w:type="spellStart"/>
      <w:r w:rsidRPr="003279FB">
        <w:rPr>
          <w:rFonts w:ascii="Tahoma" w:hAnsi="Tahoma" w:cs="Tahoma"/>
          <w:sz w:val="20"/>
        </w:rPr>
        <w:t>okoljske</w:t>
      </w:r>
      <w:proofErr w:type="spellEnd"/>
      <w:r w:rsidRPr="003279FB">
        <w:rPr>
          <w:rFonts w:ascii="Tahoma" w:hAnsi="Tahoma" w:cs="Tahoma"/>
          <w:sz w:val="20"/>
        </w:rPr>
        <w:t xml:space="preserve"> politike - Naročnik« in bo določena s pisnim sporazumom, točka III.1. Odgovorne osebe na skupnem delovišču. </w:t>
      </w:r>
    </w:p>
    <w:p w:rsidR="003279FB" w:rsidRPr="003279FB" w:rsidRDefault="003279FB" w:rsidP="003279FB">
      <w:pPr>
        <w:keepNext/>
        <w:keepLines/>
        <w:jc w:val="both"/>
        <w:rPr>
          <w:rFonts w:ascii="Tahoma" w:hAnsi="Tahoma" w:cs="Tahoma"/>
          <w:sz w:val="20"/>
        </w:rPr>
      </w:pPr>
    </w:p>
    <w:p w:rsidR="003279FB" w:rsidRPr="003279FB" w:rsidRDefault="003279FB" w:rsidP="003279FB">
      <w:pPr>
        <w:keepNext/>
        <w:keepLines/>
        <w:jc w:val="both"/>
        <w:rPr>
          <w:rFonts w:ascii="Tahoma" w:hAnsi="Tahoma" w:cs="Tahoma"/>
          <w:sz w:val="20"/>
        </w:rPr>
      </w:pPr>
      <w:r w:rsidRPr="003279FB">
        <w:rPr>
          <w:rFonts w:ascii="Tahoma" w:hAnsi="Tahoma" w:cs="Tahoma"/>
          <w:sz w:val="20"/>
        </w:rPr>
        <w:t>Stranki okvirnega sporazuma soglašata, da brez podpisanega Pisnega sporazuma o skupnih varnostnih ukrepih in ravnanju z okoljem v JAVNEM PODJETJU ENERGETIKA LJUBLJANA d. o. o. ni dovoljen začetek izvedbe storitev.</w:t>
      </w:r>
    </w:p>
    <w:p w:rsidR="003279FB" w:rsidRPr="003279FB" w:rsidRDefault="003279FB" w:rsidP="003279FB">
      <w:pPr>
        <w:keepNext/>
        <w:keepLines/>
        <w:jc w:val="both"/>
        <w:rPr>
          <w:rFonts w:ascii="Tahoma" w:hAnsi="Tahoma" w:cs="Tahoma"/>
          <w:sz w:val="20"/>
        </w:rPr>
      </w:pPr>
    </w:p>
    <w:p w:rsidR="003279FB" w:rsidRDefault="003279FB" w:rsidP="003279FB">
      <w:pPr>
        <w:keepNext/>
        <w:keepLines/>
        <w:jc w:val="both"/>
        <w:rPr>
          <w:rFonts w:ascii="Tahoma" w:hAnsi="Tahoma" w:cs="Tahoma"/>
          <w:color w:val="000000" w:themeColor="text1"/>
          <w:sz w:val="20"/>
        </w:rPr>
      </w:pPr>
      <w:r w:rsidRPr="003279FB">
        <w:rPr>
          <w:rFonts w:ascii="Tahoma" w:hAnsi="Tahoma" w:cs="Tahoma"/>
          <w:sz w:val="20"/>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tem okvirnem sporazumu </w:t>
      </w:r>
      <w:r w:rsidRPr="003279FB">
        <w:rPr>
          <w:rFonts w:ascii="Tahoma" w:hAnsi="Tahoma" w:cs="Tahoma"/>
          <w:color w:val="000000" w:themeColor="text1"/>
          <w:sz w:val="20"/>
        </w:rPr>
        <w:t>(26. člen).</w:t>
      </w:r>
      <w:r>
        <w:rPr>
          <w:rFonts w:ascii="Tahoma" w:hAnsi="Tahoma" w:cs="Tahoma"/>
          <w:color w:val="000000" w:themeColor="text1"/>
          <w:sz w:val="20"/>
        </w:rPr>
        <w:t>«</w:t>
      </w:r>
      <w:bookmarkStart w:id="0" w:name="_GoBack"/>
      <w:bookmarkEnd w:id="0"/>
    </w:p>
    <w:p w:rsidR="00304CF9" w:rsidRPr="003279FB" w:rsidRDefault="00304CF9" w:rsidP="003279FB">
      <w:pPr>
        <w:keepNext/>
        <w:keepLines/>
        <w:jc w:val="both"/>
        <w:rPr>
          <w:rFonts w:ascii="Tahoma" w:hAnsi="Tahoma" w:cs="Tahoma"/>
          <w:color w:val="000000" w:themeColor="text1"/>
          <w:sz w:val="20"/>
        </w:rPr>
      </w:pPr>
    </w:p>
    <w:p w:rsidR="00D02474" w:rsidRDefault="00B8409C" w:rsidP="003A1A28">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3A1A28">
      <w:pPr>
        <w:keepNext/>
        <w:keepLines/>
        <w:rPr>
          <w:rFonts w:ascii="Tahoma" w:hAnsi="Tahoma" w:cs="Tahoma"/>
          <w:sz w:val="20"/>
        </w:rPr>
      </w:pPr>
      <w:r w:rsidRPr="009F4FFF">
        <w:rPr>
          <w:rFonts w:ascii="Tahoma" w:hAnsi="Tahoma" w:cs="Tahoma"/>
          <w:sz w:val="20"/>
        </w:rPr>
        <w:tab/>
      </w:r>
    </w:p>
    <w:p w:rsidR="00B8409C" w:rsidRPr="009F4FFF" w:rsidRDefault="00B8409C" w:rsidP="003A1A28">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3A1A28">
      <w:pPr>
        <w:keepNext/>
        <w:keepLines/>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CF" w:rsidRDefault="003C1FCF">
      <w:r>
        <w:separator/>
      </w:r>
    </w:p>
  </w:endnote>
  <w:endnote w:type="continuationSeparator" w:id="0">
    <w:p w:rsidR="003C1FCF" w:rsidRDefault="003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Noga"/>
      <w:jc w:val="right"/>
    </w:pPr>
  </w:p>
  <w:p w:rsidR="003C1FCF" w:rsidRDefault="003C1FCF"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C1FCF" w:rsidRDefault="003C1FCF"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04CF9">
      <w:rPr>
        <w:noProof/>
        <w:sz w:val="16"/>
        <w:szCs w:val="16"/>
      </w:rPr>
      <w:t>4</w:t>
    </w:r>
    <w:r w:rsidRPr="00394716">
      <w:rPr>
        <w:sz w:val="16"/>
        <w:szCs w:val="16"/>
      </w:rPr>
      <w:fldChar w:fldCharType="end"/>
    </w:r>
  </w:p>
  <w:p w:rsidR="003C1FCF" w:rsidRDefault="003C1FCF" w:rsidP="00B366C6">
    <w:pPr>
      <w:pStyle w:val="Noga"/>
      <w:jc w:val="center"/>
      <w:rPr>
        <w:sz w:val="16"/>
        <w:szCs w:val="16"/>
      </w:rPr>
    </w:pPr>
  </w:p>
  <w:p w:rsidR="003C1FCF" w:rsidRDefault="003C1FCF" w:rsidP="00B366C6">
    <w:pPr>
      <w:pStyle w:val="Noga"/>
      <w:jc w:val="center"/>
      <w:rPr>
        <w:sz w:val="16"/>
        <w:szCs w:val="16"/>
      </w:rPr>
    </w:pPr>
  </w:p>
  <w:p w:rsidR="003C1FCF" w:rsidRPr="00394716" w:rsidRDefault="003C1FCF"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Pr="004D3E89" w:rsidRDefault="003C1FCF"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CF" w:rsidRDefault="003C1FCF">
      <w:r>
        <w:separator/>
      </w:r>
    </w:p>
  </w:footnote>
  <w:footnote w:type="continuationSeparator" w:id="0">
    <w:p w:rsidR="003C1FCF" w:rsidRDefault="003C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9061A3"/>
    <w:multiLevelType w:val="multilevel"/>
    <w:tmpl w:val="044EA7E2"/>
    <w:lvl w:ilvl="0">
      <w:start w:val="3"/>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4584C"/>
    <w:multiLevelType w:val="hybridMultilevel"/>
    <w:tmpl w:val="8B361458"/>
    <w:lvl w:ilvl="0" w:tplc="978E9E92">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4385C"/>
    <w:multiLevelType w:val="hybridMultilevel"/>
    <w:tmpl w:val="A26CA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2" w15:restartNumberingAfterBreak="0">
    <w:nsid w:val="27B3447F"/>
    <w:multiLevelType w:val="hybridMultilevel"/>
    <w:tmpl w:val="6960F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F479D4"/>
    <w:multiLevelType w:val="multilevel"/>
    <w:tmpl w:val="43E0643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0"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23"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4"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6"/>
  </w:num>
  <w:num w:numId="4">
    <w:abstractNumId w:val="19"/>
  </w:num>
  <w:num w:numId="5">
    <w:abstractNumId w:val="17"/>
  </w:num>
  <w:num w:numId="6">
    <w:abstractNumId w:val="4"/>
  </w:num>
  <w:num w:numId="7">
    <w:abstractNumId w:val="10"/>
  </w:num>
  <w:num w:numId="8">
    <w:abstractNumId w:val="20"/>
  </w:num>
  <w:num w:numId="9">
    <w:abstractNumId w:val="6"/>
  </w:num>
  <w:num w:numId="10">
    <w:abstractNumId w:val="7"/>
  </w:num>
  <w:num w:numId="11">
    <w:abstractNumId w:val="5"/>
  </w:num>
  <w:num w:numId="12">
    <w:abstractNumId w:val="21"/>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3"/>
  </w:num>
  <w:num w:numId="15">
    <w:abstractNumId w:val="11"/>
  </w:num>
  <w:num w:numId="16">
    <w:abstractNumId w:val="25"/>
  </w:num>
  <w:num w:numId="17">
    <w:abstractNumId w:val="8"/>
  </w:num>
  <w:num w:numId="18">
    <w:abstractNumId w:val="19"/>
  </w:num>
  <w:num w:numId="19">
    <w:abstractNumId w:val="14"/>
  </w:num>
  <w:num w:numId="20">
    <w:abstractNumId w:val="18"/>
  </w:num>
  <w:num w:numId="21">
    <w:abstractNumId w:val="13"/>
  </w:num>
  <w:num w:numId="22">
    <w:abstractNumId w:val="30"/>
  </w:num>
  <w:num w:numId="23">
    <w:abstractNumId w:val="9"/>
  </w:num>
  <w:num w:numId="24">
    <w:abstractNumId w:val="15"/>
  </w:num>
  <w:num w:numId="25">
    <w:abstractNumId w:val="28"/>
  </w:num>
  <w:num w:numId="26">
    <w:abstractNumId w:val="16"/>
  </w:num>
  <w:num w:numId="27">
    <w:abstractNumId w:val="2"/>
  </w:num>
  <w:num w:numId="28">
    <w:abstractNumId w:val="3"/>
  </w:num>
  <w:num w:numId="29">
    <w:abstractNumId w:val="27"/>
  </w:num>
  <w:num w:numId="30">
    <w:abstractNumId w:val="24"/>
  </w:num>
  <w:num w:numId="31">
    <w:abstractNumId w:val="1"/>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27F8E"/>
    <w:rsid w:val="00037454"/>
    <w:rsid w:val="00041B42"/>
    <w:rsid w:val="000517FE"/>
    <w:rsid w:val="00075208"/>
    <w:rsid w:val="000930B2"/>
    <w:rsid w:val="000A0899"/>
    <w:rsid w:val="000A3FB9"/>
    <w:rsid w:val="000B3410"/>
    <w:rsid w:val="000B5827"/>
    <w:rsid w:val="000B6B43"/>
    <w:rsid w:val="000D4BCF"/>
    <w:rsid w:val="000E7AFC"/>
    <w:rsid w:val="000E7D9B"/>
    <w:rsid w:val="00102EFB"/>
    <w:rsid w:val="0010611D"/>
    <w:rsid w:val="00110C57"/>
    <w:rsid w:val="00125393"/>
    <w:rsid w:val="00130EEE"/>
    <w:rsid w:val="001376D1"/>
    <w:rsid w:val="00140D68"/>
    <w:rsid w:val="00141500"/>
    <w:rsid w:val="0015581D"/>
    <w:rsid w:val="00175FEC"/>
    <w:rsid w:val="001870F9"/>
    <w:rsid w:val="001A043C"/>
    <w:rsid w:val="001B0253"/>
    <w:rsid w:val="001B482F"/>
    <w:rsid w:val="001C238D"/>
    <w:rsid w:val="001C7004"/>
    <w:rsid w:val="001D4454"/>
    <w:rsid w:val="001E0C98"/>
    <w:rsid w:val="001E1B02"/>
    <w:rsid w:val="001E278D"/>
    <w:rsid w:val="001E3612"/>
    <w:rsid w:val="001E3A81"/>
    <w:rsid w:val="001E5AE6"/>
    <w:rsid w:val="00205379"/>
    <w:rsid w:val="00224FE4"/>
    <w:rsid w:val="00240C29"/>
    <w:rsid w:val="00242234"/>
    <w:rsid w:val="0026294B"/>
    <w:rsid w:val="00284842"/>
    <w:rsid w:val="00285099"/>
    <w:rsid w:val="002870B0"/>
    <w:rsid w:val="00291CD6"/>
    <w:rsid w:val="00292109"/>
    <w:rsid w:val="002B79EA"/>
    <w:rsid w:val="002C0317"/>
    <w:rsid w:val="002C255A"/>
    <w:rsid w:val="002C50D3"/>
    <w:rsid w:val="002C5152"/>
    <w:rsid w:val="002D4294"/>
    <w:rsid w:val="002F08A1"/>
    <w:rsid w:val="002F1AD1"/>
    <w:rsid w:val="002F2ED9"/>
    <w:rsid w:val="003013E0"/>
    <w:rsid w:val="00304CF9"/>
    <w:rsid w:val="003279FB"/>
    <w:rsid w:val="00354D59"/>
    <w:rsid w:val="00366A57"/>
    <w:rsid w:val="00366F2D"/>
    <w:rsid w:val="003731D5"/>
    <w:rsid w:val="00382E89"/>
    <w:rsid w:val="00387F4F"/>
    <w:rsid w:val="0039059B"/>
    <w:rsid w:val="00391DD6"/>
    <w:rsid w:val="00396E64"/>
    <w:rsid w:val="003A1A28"/>
    <w:rsid w:val="003B0717"/>
    <w:rsid w:val="003B151C"/>
    <w:rsid w:val="003C1FCF"/>
    <w:rsid w:val="003C5474"/>
    <w:rsid w:val="003C747C"/>
    <w:rsid w:val="003D4BEB"/>
    <w:rsid w:val="003F3167"/>
    <w:rsid w:val="003F535B"/>
    <w:rsid w:val="003F60D5"/>
    <w:rsid w:val="003F65D3"/>
    <w:rsid w:val="00407136"/>
    <w:rsid w:val="00423E45"/>
    <w:rsid w:val="004310C6"/>
    <w:rsid w:val="00433EAA"/>
    <w:rsid w:val="00437DBA"/>
    <w:rsid w:val="0044086B"/>
    <w:rsid w:val="00441F5B"/>
    <w:rsid w:val="00450DB9"/>
    <w:rsid w:val="00451A99"/>
    <w:rsid w:val="004540B0"/>
    <w:rsid w:val="0045541F"/>
    <w:rsid w:val="00455EB9"/>
    <w:rsid w:val="0047542C"/>
    <w:rsid w:val="00482216"/>
    <w:rsid w:val="004A38F0"/>
    <w:rsid w:val="004B0BE1"/>
    <w:rsid w:val="004B78F7"/>
    <w:rsid w:val="004D3E89"/>
    <w:rsid w:val="004D64A2"/>
    <w:rsid w:val="00505A07"/>
    <w:rsid w:val="00515A67"/>
    <w:rsid w:val="00523501"/>
    <w:rsid w:val="00527CAB"/>
    <w:rsid w:val="0053291B"/>
    <w:rsid w:val="00540009"/>
    <w:rsid w:val="00572F58"/>
    <w:rsid w:val="0057721D"/>
    <w:rsid w:val="00583FEE"/>
    <w:rsid w:val="00597FE2"/>
    <w:rsid w:val="005C2DB5"/>
    <w:rsid w:val="005C2DB7"/>
    <w:rsid w:val="005D2112"/>
    <w:rsid w:val="005E7331"/>
    <w:rsid w:val="00600300"/>
    <w:rsid w:val="00616167"/>
    <w:rsid w:val="0062320B"/>
    <w:rsid w:val="00624A8F"/>
    <w:rsid w:val="00656773"/>
    <w:rsid w:val="006610A5"/>
    <w:rsid w:val="00665CA5"/>
    <w:rsid w:val="006735DA"/>
    <w:rsid w:val="006862BE"/>
    <w:rsid w:val="0069374F"/>
    <w:rsid w:val="00696C75"/>
    <w:rsid w:val="006A2FAA"/>
    <w:rsid w:val="006B024F"/>
    <w:rsid w:val="006B1CF9"/>
    <w:rsid w:val="006B3868"/>
    <w:rsid w:val="006E0CA1"/>
    <w:rsid w:val="006E45F0"/>
    <w:rsid w:val="006F22BA"/>
    <w:rsid w:val="006F3058"/>
    <w:rsid w:val="00703E6D"/>
    <w:rsid w:val="00711458"/>
    <w:rsid w:val="007159B1"/>
    <w:rsid w:val="00730049"/>
    <w:rsid w:val="0073459F"/>
    <w:rsid w:val="007367CD"/>
    <w:rsid w:val="00762732"/>
    <w:rsid w:val="00763D0C"/>
    <w:rsid w:val="00764CDA"/>
    <w:rsid w:val="007661F5"/>
    <w:rsid w:val="00766924"/>
    <w:rsid w:val="0077022A"/>
    <w:rsid w:val="00777203"/>
    <w:rsid w:val="00794399"/>
    <w:rsid w:val="0079767F"/>
    <w:rsid w:val="007A258F"/>
    <w:rsid w:val="007B175D"/>
    <w:rsid w:val="007C3B30"/>
    <w:rsid w:val="007C494E"/>
    <w:rsid w:val="007D1E0B"/>
    <w:rsid w:val="007D6B63"/>
    <w:rsid w:val="007D7B31"/>
    <w:rsid w:val="007E1A3B"/>
    <w:rsid w:val="007F0CFD"/>
    <w:rsid w:val="007F402F"/>
    <w:rsid w:val="00800D88"/>
    <w:rsid w:val="008105EE"/>
    <w:rsid w:val="008163E9"/>
    <w:rsid w:val="00821F95"/>
    <w:rsid w:val="0084746F"/>
    <w:rsid w:val="00856BAF"/>
    <w:rsid w:val="00856BF6"/>
    <w:rsid w:val="00863B59"/>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E5557"/>
    <w:rsid w:val="008F63DA"/>
    <w:rsid w:val="0090455C"/>
    <w:rsid w:val="0092040B"/>
    <w:rsid w:val="00927AAE"/>
    <w:rsid w:val="00931EA9"/>
    <w:rsid w:val="009328DB"/>
    <w:rsid w:val="00932E02"/>
    <w:rsid w:val="009432A3"/>
    <w:rsid w:val="0094583D"/>
    <w:rsid w:val="00962839"/>
    <w:rsid w:val="00965010"/>
    <w:rsid w:val="00966595"/>
    <w:rsid w:val="00967247"/>
    <w:rsid w:val="00981B37"/>
    <w:rsid w:val="0098200D"/>
    <w:rsid w:val="009843AA"/>
    <w:rsid w:val="00987755"/>
    <w:rsid w:val="00991DF6"/>
    <w:rsid w:val="00993435"/>
    <w:rsid w:val="00993C58"/>
    <w:rsid w:val="00994C9B"/>
    <w:rsid w:val="009A3E80"/>
    <w:rsid w:val="009B3BE0"/>
    <w:rsid w:val="009B7791"/>
    <w:rsid w:val="009D10CB"/>
    <w:rsid w:val="009D2BDE"/>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90D88"/>
    <w:rsid w:val="00A940DE"/>
    <w:rsid w:val="00AA791E"/>
    <w:rsid w:val="00AB1198"/>
    <w:rsid w:val="00AB4DCC"/>
    <w:rsid w:val="00AC326A"/>
    <w:rsid w:val="00B071E5"/>
    <w:rsid w:val="00B119C9"/>
    <w:rsid w:val="00B24134"/>
    <w:rsid w:val="00B3166D"/>
    <w:rsid w:val="00B366C6"/>
    <w:rsid w:val="00B376D0"/>
    <w:rsid w:val="00B44189"/>
    <w:rsid w:val="00B45D59"/>
    <w:rsid w:val="00B57403"/>
    <w:rsid w:val="00B66D3B"/>
    <w:rsid w:val="00B70739"/>
    <w:rsid w:val="00B810C1"/>
    <w:rsid w:val="00B81112"/>
    <w:rsid w:val="00B8409C"/>
    <w:rsid w:val="00B93176"/>
    <w:rsid w:val="00B93D81"/>
    <w:rsid w:val="00B941B6"/>
    <w:rsid w:val="00B95E5E"/>
    <w:rsid w:val="00BB76E1"/>
    <w:rsid w:val="00BC0EFE"/>
    <w:rsid w:val="00BC4B0F"/>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98E"/>
    <w:rsid w:val="00CA4F0B"/>
    <w:rsid w:val="00CB065C"/>
    <w:rsid w:val="00CB702E"/>
    <w:rsid w:val="00CB77D3"/>
    <w:rsid w:val="00CE4D71"/>
    <w:rsid w:val="00CF4117"/>
    <w:rsid w:val="00D02474"/>
    <w:rsid w:val="00D03AF4"/>
    <w:rsid w:val="00D229C4"/>
    <w:rsid w:val="00D22D80"/>
    <w:rsid w:val="00D310AC"/>
    <w:rsid w:val="00D3352D"/>
    <w:rsid w:val="00D37B43"/>
    <w:rsid w:val="00D468E3"/>
    <w:rsid w:val="00D558BF"/>
    <w:rsid w:val="00D5592D"/>
    <w:rsid w:val="00D57FE9"/>
    <w:rsid w:val="00D62091"/>
    <w:rsid w:val="00D677F7"/>
    <w:rsid w:val="00D80449"/>
    <w:rsid w:val="00D875E4"/>
    <w:rsid w:val="00D92BC3"/>
    <w:rsid w:val="00D970C6"/>
    <w:rsid w:val="00D97511"/>
    <w:rsid w:val="00DA558B"/>
    <w:rsid w:val="00DC6CA4"/>
    <w:rsid w:val="00DD2330"/>
    <w:rsid w:val="00DE1461"/>
    <w:rsid w:val="00DE36A9"/>
    <w:rsid w:val="00DE46B3"/>
    <w:rsid w:val="00DE6D23"/>
    <w:rsid w:val="00DE7103"/>
    <w:rsid w:val="00DF0E9F"/>
    <w:rsid w:val="00DF3406"/>
    <w:rsid w:val="00E06BBF"/>
    <w:rsid w:val="00E14BFA"/>
    <w:rsid w:val="00E23F10"/>
    <w:rsid w:val="00E24D79"/>
    <w:rsid w:val="00E32E39"/>
    <w:rsid w:val="00E47609"/>
    <w:rsid w:val="00E4765E"/>
    <w:rsid w:val="00E53473"/>
    <w:rsid w:val="00E5591D"/>
    <w:rsid w:val="00E60036"/>
    <w:rsid w:val="00E64E12"/>
    <w:rsid w:val="00E66AA0"/>
    <w:rsid w:val="00E762FD"/>
    <w:rsid w:val="00E91E08"/>
    <w:rsid w:val="00EA249B"/>
    <w:rsid w:val="00ED0B73"/>
    <w:rsid w:val="00ED2035"/>
    <w:rsid w:val="00EE78E3"/>
    <w:rsid w:val="00F14403"/>
    <w:rsid w:val="00F15396"/>
    <w:rsid w:val="00F16308"/>
    <w:rsid w:val="00F478C8"/>
    <w:rsid w:val="00F5336C"/>
    <w:rsid w:val="00F543E6"/>
    <w:rsid w:val="00F64190"/>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FD18F9E"/>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aliases w:val="za tekst,Odstavek seznama_IP"/>
    <w:basedOn w:val="Navaden"/>
    <w:link w:val="OdstavekseznamaZnak"/>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aliases w:val="za tekst Znak,Odstavek seznama_IP Znak"/>
    <w:basedOn w:val="Privzetapisavaodstavka"/>
    <w:link w:val="Odstavekseznama"/>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461"/>
    <w:pPr>
      <w:spacing w:after="0" w:line="240" w:lineRule="auto"/>
    </w:pPr>
    <w:rPr>
      <w:rFonts w:ascii="Arial" w:eastAsia="Times New Roman" w:hAnsi="Arial" w:cs="Times New Roman"/>
      <w:color w:val="00000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49637210">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BE3C-676C-4CA3-9D4F-00711A3A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1432</Words>
  <Characters>8169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7</cp:revision>
  <cp:lastPrinted>2018-12-10T05:59:00Z</cp:lastPrinted>
  <dcterms:created xsi:type="dcterms:W3CDTF">2020-12-30T12:41:00Z</dcterms:created>
  <dcterms:modified xsi:type="dcterms:W3CDTF">2020-12-31T08:44:00Z</dcterms:modified>
</cp:coreProperties>
</file>