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A62" w:rsidRPr="00423943" w:rsidRDefault="00F40A62" w:rsidP="00F40A62">
      <w:pPr>
        <w:rPr>
          <w:rFonts w:ascii="Tahoma" w:hAnsi="Tahoma" w:cs="Tahoma"/>
          <w:b/>
        </w:rPr>
      </w:pPr>
      <w:r w:rsidRPr="00423943">
        <w:rPr>
          <w:rFonts w:ascii="Tahoma" w:hAnsi="Tahoma" w:cs="Tahoma"/>
          <w:b/>
        </w:rPr>
        <w:t>SKLOP 2: OCENJEVANJE PONUDB ZA 15 m MEDKRAJEVNE AVTOBUSE RAZREDA II, izvedba »</w:t>
      </w:r>
      <w:proofErr w:type="spellStart"/>
      <w:r w:rsidRPr="00423943">
        <w:rPr>
          <w:rFonts w:ascii="Tahoma" w:hAnsi="Tahoma" w:cs="Tahoma"/>
          <w:b/>
        </w:rPr>
        <w:t>Low</w:t>
      </w:r>
      <w:proofErr w:type="spellEnd"/>
      <w:r w:rsidRPr="00423943">
        <w:rPr>
          <w:rFonts w:ascii="Tahoma" w:hAnsi="Tahoma" w:cs="Tahoma"/>
          <w:b/>
        </w:rPr>
        <w:t xml:space="preserve"> </w:t>
      </w:r>
      <w:proofErr w:type="spellStart"/>
      <w:r w:rsidRPr="00423943">
        <w:rPr>
          <w:rFonts w:ascii="Tahoma" w:hAnsi="Tahoma" w:cs="Tahoma"/>
          <w:b/>
        </w:rPr>
        <w:t>entry</w:t>
      </w:r>
      <w:proofErr w:type="spellEnd"/>
      <w:r w:rsidRPr="00423943">
        <w:rPr>
          <w:rFonts w:ascii="Tahoma" w:hAnsi="Tahoma" w:cs="Tahoma"/>
          <w:b/>
        </w:rPr>
        <w:t>«.</w:t>
      </w:r>
    </w:p>
    <w:p w:rsidR="00F40A62" w:rsidRPr="00881079" w:rsidRDefault="00F40A62" w:rsidP="00F40A62">
      <w:pPr>
        <w:rPr>
          <w:rFonts w:ascii="Tahoma" w:hAnsi="Tahoma" w:cs="Tahoma"/>
          <w:b/>
        </w:rPr>
      </w:pPr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rPr>
          <w:rFonts w:ascii="Tahoma" w:hAnsi="Tahoma" w:cs="Tahoma"/>
        </w:rPr>
      </w:pPr>
      <w:r w:rsidRPr="00D03FFC">
        <w:rPr>
          <w:rFonts w:ascii="Tahoma" w:hAnsi="Tahoma" w:cs="Tahoma"/>
        </w:rPr>
        <w:t>Naročnik bo ponudbe ovrednotil na podlagi naslednjih meril:</w:t>
      </w:r>
    </w:p>
    <w:p w:rsidR="00F40A62" w:rsidRPr="00D03FFC" w:rsidRDefault="00F40A62" w:rsidP="00F40A62">
      <w:pPr>
        <w:rPr>
          <w:rFonts w:ascii="Tahoma" w:hAnsi="Tahoma" w:cs="Tahoma"/>
        </w:rPr>
      </w:pPr>
    </w:p>
    <w:p w:rsidR="00F40A62" w:rsidRPr="00881079" w:rsidRDefault="00F40A62" w:rsidP="00F40A62">
      <w:pPr>
        <w:pStyle w:val="Odstavekseznama"/>
        <w:numPr>
          <w:ilvl w:val="1"/>
          <w:numId w:val="1"/>
        </w:numPr>
        <w:spacing w:after="200" w:line="276" w:lineRule="auto"/>
        <w:ind w:left="357" w:hanging="357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Ponudbene cene vozila</w:t>
      </w:r>
    </w:p>
    <w:p w:rsidR="00F40A62" w:rsidRPr="00881079" w:rsidRDefault="00F40A62" w:rsidP="00F40A62">
      <w:pPr>
        <w:pStyle w:val="Odstavekseznama"/>
        <w:numPr>
          <w:ilvl w:val="1"/>
          <w:numId w:val="1"/>
        </w:numPr>
        <w:spacing w:after="200" w:line="360" w:lineRule="auto"/>
        <w:ind w:left="357" w:hanging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Tehnična</w:t>
      </w:r>
      <w:r w:rsidRPr="00881079">
        <w:rPr>
          <w:rFonts w:ascii="Tahoma" w:hAnsi="Tahoma" w:cs="Tahoma"/>
        </w:rPr>
        <w:t xml:space="preserve"> izvedb</w:t>
      </w:r>
      <w:r>
        <w:rPr>
          <w:rFonts w:ascii="Tahoma" w:hAnsi="Tahoma" w:cs="Tahoma"/>
        </w:rPr>
        <w:t>a vozila</w:t>
      </w:r>
    </w:p>
    <w:p w:rsidR="00F40A62" w:rsidRPr="00881079" w:rsidRDefault="00F40A62" w:rsidP="00F40A62">
      <w:pPr>
        <w:spacing w:after="200" w:line="360" w:lineRule="auto"/>
        <w:contextualSpacing/>
        <w:jc w:val="both"/>
        <w:rPr>
          <w:rFonts w:ascii="Tahoma" w:hAnsi="Tahoma" w:cs="Tahoma"/>
        </w:rPr>
      </w:pPr>
      <w:r w:rsidRPr="00881079">
        <w:rPr>
          <w:rFonts w:ascii="Tahoma" w:hAnsi="Tahoma" w:cs="Tahoma"/>
        </w:rPr>
        <w:t>Vse ponudbe bo naročnik točkoval</w:t>
      </w:r>
      <w:r w:rsidRPr="009530C5">
        <w:rPr>
          <w:rFonts w:ascii="Tahoma" w:hAnsi="Tahoma" w:cs="Tahoma"/>
          <w:b/>
        </w:rPr>
        <w:t>. Naročnik bo izbral ponudbo, ki bo dosegla največje število točk.</w:t>
      </w:r>
    </w:p>
    <w:p w:rsidR="00F40A62" w:rsidRPr="009530C5" w:rsidRDefault="00F40A62" w:rsidP="00F40A62">
      <w:pPr>
        <w:pStyle w:val="Odstavekseznama"/>
        <w:numPr>
          <w:ilvl w:val="2"/>
          <w:numId w:val="2"/>
        </w:numPr>
        <w:spacing w:after="200" w:line="276" w:lineRule="auto"/>
        <w:contextualSpacing/>
        <w:rPr>
          <w:rFonts w:ascii="Tahoma" w:hAnsi="Tahoma" w:cs="Tahoma"/>
          <w:b/>
          <w:u w:val="single"/>
        </w:rPr>
      </w:pPr>
      <w:r w:rsidRPr="009530C5">
        <w:rPr>
          <w:rFonts w:ascii="Tahoma" w:hAnsi="Tahoma" w:cs="Tahoma"/>
          <w:b/>
          <w:u w:val="single"/>
        </w:rPr>
        <w:t>Uporaba meril</w:t>
      </w:r>
    </w:p>
    <w:p w:rsidR="00F40A62" w:rsidRPr="00881079" w:rsidRDefault="00F40A62" w:rsidP="00F40A62">
      <w:pPr>
        <w:jc w:val="both"/>
        <w:rPr>
          <w:rFonts w:ascii="Tahoma" w:hAnsi="Tahoma" w:cs="Tahoma"/>
        </w:rPr>
      </w:pPr>
      <w:r w:rsidRPr="00881079">
        <w:rPr>
          <w:rFonts w:ascii="Tahoma" w:hAnsi="Tahoma" w:cs="Tahoma"/>
        </w:rPr>
        <w:t>Enota za vrednotenje ponudb je točka. Doseženo skupno število točk je enako vsoti doseženega števila točk pri posameznem merilu. Vse ponudbe bodo točkovane s pomočjo naslednje formule:</w:t>
      </w:r>
    </w:p>
    <w:p w:rsidR="00F40A62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rPr>
          <w:rFonts w:ascii="Tahoma" w:hAnsi="Tahoma"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T</m:t>
              </m:r>
            </m:e>
            <m:sub>
              <m:r>
                <w:rPr>
                  <w:rFonts w:ascii="Cambria Math" w:hAnsi="Cambria Math" w:cs="Tahoma"/>
                </w:rPr>
                <m:t>x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T</m:t>
              </m:r>
            </m:e>
            <m:sub>
              <m:r>
                <w:rPr>
                  <w:rFonts w:ascii="Cambria Math" w:hAnsi="Cambria Math" w:cs="Tahoma"/>
                </w:rPr>
                <m:t>LCCx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T</m:t>
              </m:r>
            </m:e>
            <m:sub>
              <m:r>
                <w:rPr>
                  <w:rFonts w:ascii="Cambria Math" w:hAnsi="Cambria Math" w:cs="Tahoma"/>
                </w:rPr>
                <m:t>TIx</m:t>
              </m:r>
            </m:sub>
          </m:sSub>
        </m:oMath>
      </m:oMathPara>
    </w:p>
    <w:p w:rsidR="00F40A62" w:rsidRPr="009530C5" w:rsidRDefault="00F40A62" w:rsidP="00F40A62">
      <w:pPr>
        <w:rPr>
          <w:rFonts w:ascii="Tahoma" w:hAnsi="Tahoma" w:cs="Tahoma"/>
        </w:rPr>
      </w:pPr>
    </w:p>
    <w:p w:rsidR="00F40A62" w:rsidRPr="00881079" w:rsidRDefault="00F40A62" w:rsidP="00F40A62">
      <w:pPr>
        <w:rPr>
          <w:rFonts w:ascii="Tahoma" w:hAnsi="Tahoma" w:cs="Tahoma"/>
        </w:rPr>
      </w:pPr>
      <w:r w:rsidRPr="00881079">
        <w:rPr>
          <w:rFonts w:ascii="Tahoma" w:hAnsi="Tahoma" w:cs="Tahoma"/>
        </w:rPr>
        <w:t>kjer pomeni:</w:t>
      </w:r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T</m:t>
            </m:r>
          </m:e>
          <m:sub>
            <m:r>
              <w:rPr>
                <w:rFonts w:ascii="Cambria Math" w:hAnsi="Cambria Math" w:cs="Tahoma"/>
              </w:rPr>
              <m:t>x</m:t>
            </m:r>
          </m:sub>
        </m:sSub>
      </m:oMath>
      <w:r w:rsidRPr="00881079">
        <w:rPr>
          <w:rFonts w:ascii="Tahoma" w:hAnsi="Tahoma" w:cs="Tahoma"/>
        </w:rPr>
        <w:t xml:space="preserve"> = skupno število točk ponudbe </w:t>
      </w:r>
      <m:oMath>
        <m:r>
          <w:rPr>
            <w:rFonts w:ascii="Cambria Math" w:hAnsi="Cambria Math" w:cs="Tahoma"/>
          </w:rPr>
          <m:t>x</m:t>
        </m:r>
      </m:oMath>
      <w:r w:rsidRPr="00881079">
        <w:rPr>
          <w:rFonts w:ascii="Tahoma" w:hAnsi="Tahoma" w:cs="Tahoma"/>
        </w:rPr>
        <w:t xml:space="preserve"> </w:t>
      </w:r>
      <m:oMath>
        <m:d>
          <m:dPr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x=1,2,…n</m:t>
            </m:r>
          </m:e>
        </m:d>
      </m:oMath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T</m:t>
            </m:r>
          </m:e>
          <m:sub>
            <m:r>
              <w:rPr>
                <w:rFonts w:ascii="Cambria Math" w:hAnsi="Cambria Math" w:cs="Tahoma"/>
              </w:rPr>
              <m:t>LCCx</m:t>
            </m:r>
          </m:sub>
        </m:sSub>
      </m:oMath>
      <w:r w:rsidRPr="00881079">
        <w:rPr>
          <w:rFonts w:ascii="Tahoma" w:hAnsi="Tahoma" w:cs="Tahoma"/>
        </w:rPr>
        <w:t xml:space="preserve"> = skupno število točk za </w:t>
      </w:r>
      <w:r>
        <w:rPr>
          <w:rFonts w:ascii="Tahoma" w:hAnsi="Tahoma" w:cs="Tahoma"/>
        </w:rPr>
        <w:t>ponudbeno ceno</w:t>
      </w:r>
      <w:r w:rsidRPr="00881079">
        <w:rPr>
          <w:rFonts w:ascii="Tahoma" w:hAnsi="Tahoma" w:cs="Tahoma"/>
        </w:rPr>
        <w:t xml:space="preserve"> vozila ponudbe </w:t>
      </w:r>
      <m:oMath>
        <m:r>
          <w:rPr>
            <w:rFonts w:ascii="Cambria Math" w:hAnsi="Cambria Math" w:cs="Tahoma"/>
          </w:rPr>
          <m:t>x</m:t>
        </m:r>
      </m:oMath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T</m:t>
            </m:r>
          </m:e>
          <m:sub>
            <m:r>
              <w:rPr>
                <w:rFonts w:ascii="Cambria Math" w:hAnsi="Cambria Math" w:cs="Tahoma"/>
              </w:rPr>
              <m:t>TIx</m:t>
            </m:r>
          </m:sub>
        </m:sSub>
      </m:oMath>
      <w:r w:rsidRPr="00881079">
        <w:rPr>
          <w:rFonts w:ascii="Tahoma" w:hAnsi="Tahoma" w:cs="Tahoma"/>
          <w:vertAlign w:val="subscript"/>
        </w:rPr>
        <w:t xml:space="preserve"> </w:t>
      </w:r>
      <w:r w:rsidRPr="00881079">
        <w:rPr>
          <w:rFonts w:ascii="Tahoma" w:hAnsi="Tahoma" w:cs="Tahoma"/>
        </w:rPr>
        <w:t xml:space="preserve"> =  skupno število točk za tehnično izvedbo vozila ponudbe </w:t>
      </w:r>
      <m:oMath>
        <m:r>
          <w:rPr>
            <w:rFonts w:ascii="Cambria Math" w:hAnsi="Cambria Math" w:cs="Tahoma"/>
          </w:rPr>
          <m:t>x</m:t>
        </m:r>
      </m:oMath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rPr>
          <w:rFonts w:ascii="Tahoma" w:hAnsi="Tahoma"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T</m:t>
              </m:r>
            </m:e>
            <m:sub>
              <m:r>
                <w:rPr>
                  <w:rFonts w:ascii="Cambria Math" w:hAnsi="Cambria Math" w:cs="Tahoma"/>
                </w:rPr>
                <m:t>LCCx</m:t>
              </m:r>
            </m:sub>
          </m:sSub>
          <m:r>
            <w:rPr>
              <w:rFonts w:ascii="Cambria Math" w:hAnsi="Cambria Math" w:cs="Tahoma"/>
            </w:rPr>
            <m:t>=300∙</m:t>
          </m:r>
          <m:d>
            <m:dPr>
              <m:ctrlPr>
                <w:rPr>
                  <w:rFonts w:ascii="Cambria Math" w:hAnsi="Cambria Math" w:cs="Tahoma"/>
                  <w:i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LCCmin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LCCx</m:t>
                      </m:r>
                    </m:sub>
                  </m:sSub>
                </m:den>
              </m:f>
            </m:e>
          </m:d>
        </m:oMath>
      </m:oMathPara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rPr>
          <w:rFonts w:ascii="Tahoma" w:hAnsi="Tahoma"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T</m:t>
              </m:r>
            </m:e>
            <m:sub>
              <m:r>
                <w:rPr>
                  <w:rFonts w:ascii="Cambria Math" w:hAnsi="Cambria Math" w:cs="Tahoma"/>
                </w:rPr>
                <m:t>TIx</m:t>
              </m:r>
            </m:sub>
          </m:sSub>
          <m:r>
            <w:rPr>
              <w:rFonts w:ascii="Cambria Math" w:hAnsi="Cambria Math" w:cs="Tahoma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ahoma"/>
                  <w:i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 w:cs="Tahoma"/>
                      <w:i/>
                    </w:rPr>
                  </m:ctrlPr>
                </m:sSubPr>
                <m:e>
                  <m:r>
                    <w:rPr>
                      <w:rFonts w:ascii="Cambria Math" w:hAnsi="Cambria Math" w:cs="Tahoma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</w:rPr>
                    <m:t>TI</m:t>
                  </m:r>
                </m:sub>
              </m:sSub>
            </m:e>
          </m:nary>
        </m:oMath>
      </m:oMathPara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Pr="00881079" w:rsidRDefault="00F40A62" w:rsidP="00F40A62">
      <w:pPr>
        <w:rPr>
          <w:rFonts w:ascii="Tahoma" w:hAnsi="Tahoma" w:cs="Tahoma"/>
        </w:rPr>
      </w:pPr>
      <w:r w:rsidRPr="00881079">
        <w:rPr>
          <w:rFonts w:ascii="Tahoma" w:hAnsi="Tahoma" w:cs="Tahoma"/>
        </w:rPr>
        <w:t>kjer pomeni:</w:t>
      </w:r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S</m:t>
            </m:r>
          </m:e>
          <m:sub>
            <m:r>
              <w:rPr>
                <w:rFonts w:ascii="Cambria Math" w:hAnsi="Cambria Math" w:cs="Tahoma"/>
              </w:rPr>
              <m:t>LCCmin</m:t>
            </m:r>
          </m:sub>
        </m:sSub>
      </m:oMath>
      <w:r w:rsidRPr="00881079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>najmanjša ponudbena cena</w:t>
      </w:r>
      <w:r w:rsidRPr="00881079">
        <w:rPr>
          <w:rFonts w:ascii="Tahoma" w:hAnsi="Tahoma" w:cs="Tahoma"/>
        </w:rPr>
        <w:t xml:space="preserve"> vozila med vsemi ponudbami</w:t>
      </w:r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S</m:t>
            </m:r>
          </m:e>
          <m:sub>
            <m:r>
              <w:rPr>
                <w:rFonts w:ascii="Cambria Math" w:hAnsi="Cambria Math" w:cs="Tahoma"/>
              </w:rPr>
              <m:t>LCCx</m:t>
            </m:r>
          </m:sub>
        </m:sSub>
      </m:oMath>
      <w:r w:rsidRPr="00881079">
        <w:rPr>
          <w:rFonts w:ascii="Tahoma" w:hAnsi="Tahoma" w:cs="Tahoma"/>
        </w:rPr>
        <w:t xml:space="preserve"> = </w:t>
      </w:r>
      <w:r>
        <w:rPr>
          <w:rFonts w:ascii="Tahoma" w:hAnsi="Tahoma" w:cs="Tahoma"/>
        </w:rPr>
        <w:t>ponudbena cena</w:t>
      </w:r>
      <w:r w:rsidRPr="00423943">
        <w:rPr>
          <w:rFonts w:ascii="Tahoma" w:hAnsi="Tahoma" w:cs="Tahoma"/>
        </w:rPr>
        <w:t xml:space="preserve"> vozila ponudbe x</w:t>
      </w:r>
    </w:p>
    <w:p w:rsidR="00F40A62" w:rsidRPr="00881079" w:rsidRDefault="00F40A62" w:rsidP="00F40A62">
      <w:pPr>
        <w:rPr>
          <w:rFonts w:ascii="Tahoma" w:hAnsi="Tahoma" w:cs="Tahoma"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T</m:t>
            </m:r>
          </m:e>
          <m:sub>
            <m:r>
              <w:rPr>
                <w:rFonts w:ascii="Cambria Math" w:hAnsi="Cambria Math" w:cs="Tahoma"/>
              </w:rPr>
              <m:t>TI</m:t>
            </m:r>
          </m:sub>
        </m:sSub>
      </m:oMath>
      <w:r w:rsidRPr="00881079">
        <w:rPr>
          <w:rFonts w:ascii="Tahoma" w:hAnsi="Tahoma" w:cs="Tahoma"/>
        </w:rPr>
        <w:t xml:space="preserve"> = točke za tehnično izvedbo posamezne komponente vozila</w:t>
      </w:r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Pr="00F86220" w:rsidRDefault="00F40A62" w:rsidP="00F40A62">
      <w:pPr>
        <w:rPr>
          <w:rFonts w:ascii="Tahoma" w:hAnsi="Tahoma" w:cs="Tahoma"/>
        </w:rPr>
      </w:pPr>
      <w:r w:rsidRPr="00F86220">
        <w:rPr>
          <w:rFonts w:ascii="Tahoma" w:hAnsi="Tahoma" w:cs="Tahoma"/>
        </w:rPr>
        <w:t xml:space="preserve">Oceno stroškov v življenjski dobi vozila </w:t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S</m:t>
            </m:r>
          </m:e>
          <m:sub>
            <m:r>
              <w:rPr>
                <w:rFonts w:ascii="Cambria Math" w:hAnsi="Cambria Math" w:cs="Tahoma"/>
              </w:rPr>
              <m:t>LCCx</m:t>
            </m:r>
          </m:sub>
        </m:sSub>
      </m:oMath>
      <w:r w:rsidRPr="00F86220">
        <w:rPr>
          <w:rFonts w:ascii="Tahoma" w:hAnsi="Tahoma" w:cs="Tahoma"/>
        </w:rPr>
        <w:t xml:space="preserve"> bo naročnik izračunal na osnovi naslednje formule:</w:t>
      </w:r>
    </w:p>
    <w:p w:rsidR="00F40A62" w:rsidRPr="0020713C" w:rsidRDefault="00F40A62" w:rsidP="00F40A62">
      <w:pPr>
        <w:rPr>
          <w:rFonts w:ascii="Tahoma" w:hAnsi="Tahoma" w:cs="Tahoma"/>
        </w:rPr>
      </w:pPr>
    </w:p>
    <w:p w:rsidR="00F40A62" w:rsidRPr="00E72448" w:rsidRDefault="00F40A62" w:rsidP="00F40A62">
      <w:pPr>
        <w:spacing w:before="240"/>
        <w:jc w:val="both"/>
        <w:rPr>
          <w:rFonts w:ascii="Tahoma" w:eastAsiaTheme="minorEastAsia" w:hAnsi="Tahoma"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S</m:t>
              </m:r>
            </m:e>
            <m:sub>
              <m:r>
                <w:rPr>
                  <w:rFonts w:ascii="Cambria Math" w:hAnsi="Cambria Math" w:cs="Tahoma"/>
                </w:rPr>
                <m:t>LCCx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</w:rPr>
              </m:ctrlPr>
            </m:sSubPr>
            <m:e>
              <m:r>
                <w:rPr>
                  <w:rFonts w:ascii="Cambria Math" w:hAnsi="Cambria Math" w:cs="Tahoma"/>
                </w:rPr>
                <m:t>NC</m:t>
              </m:r>
            </m:e>
            <m:sub>
              <m:r>
                <w:rPr>
                  <w:rFonts w:ascii="Cambria Math" w:hAnsi="Cambria Math" w:cs="Tahoma"/>
                </w:rPr>
                <m:t>V</m:t>
              </m:r>
            </m:sub>
          </m:sSub>
        </m:oMath>
      </m:oMathPara>
    </w:p>
    <w:p w:rsidR="00F40A62" w:rsidRPr="00F86220" w:rsidRDefault="00F40A62" w:rsidP="00F40A62">
      <w:pPr>
        <w:ind w:left="709" w:hanging="709"/>
        <w:jc w:val="center"/>
        <w:rPr>
          <w:rFonts w:ascii="Tahoma" w:hAnsi="Tahoma" w:cs="Tahoma"/>
          <w:b/>
        </w:rPr>
      </w:pPr>
    </w:p>
    <w:p w:rsidR="00F40A62" w:rsidRPr="0020713C" w:rsidRDefault="00F40A62" w:rsidP="00F40A62">
      <w:pPr>
        <w:rPr>
          <w:rFonts w:ascii="Tahoma" w:hAnsi="Tahoma" w:cs="Tahoma"/>
        </w:rPr>
      </w:pPr>
      <w:r w:rsidRPr="0020713C">
        <w:rPr>
          <w:rFonts w:ascii="Tahoma" w:hAnsi="Tahoma" w:cs="Tahoma"/>
        </w:rPr>
        <w:t>kjer je:</w:t>
      </w:r>
    </w:p>
    <w:p w:rsidR="00F40A62" w:rsidRPr="00F86220" w:rsidRDefault="00F40A62" w:rsidP="00F40A62">
      <w:pPr>
        <w:rPr>
          <w:rFonts w:ascii="Tahoma" w:hAnsi="Tahoma" w:cs="Tahoma"/>
        </w:rPr>
      </w:pPr>
    </w:p>
    <w:p w:rsidR="00F40A62" w:rsidRPr="005276A5" w:rsidRDefault="00F40A62" w:rsidP="00F40A62">
      <w:pPr>
        <w:ind w:left="360"/>
        <w:rPr>
          <w:rFonts w:ascii="Tahoma" w:hAnsi="Tahoma" w:cs="Tahoma"/>
          <w:b/>
        </w:rPr>
      </w:pP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NC</m:t>
            </m:r>
          </m:e>
          <m:sub>
            <m:r>
              <w:rPr>
                <w:rFonts w:ascii="Cambria Math" w:hAnsi="Cambria Math" w:cs="Tahoma"/>
              </w:rPr>
              <m:t>V</m:t>
            </m:r>
          </m:sub>
        </m:sSub>
      </m:oMath>
      <w:r w:rsidRPr="005276A5">
        <w:rPr>
          <w:rFonts w:ascii="Tahoma" w:hAnsi="Tahoma" w:cs="Tahoma"/>
          <w:b/>
        </w:rPr>
        <w:t xml:space="preserve"> = </w:t>
      </w:r>
      <w:r w:rsidRPr="005276A5">
        <w:rPr>
          <w:rFonts w:ascii="Tahoma" w:hAnsi="Tahoma" w:cs="Tahoma"/>
        </w:rPr>
        <w:t>nabavna oz. ponudbena cena vozila, brez DDV, izražena v EUR</w:t>
      </w:r>
    </w:p>
    <w:p w:rsidR="00F40A62" w:rsidRPr="0020713C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jc w:val="both"/>
        <w:rPr>
          <w:rFonts w:ascii="Tahoma" w:hAnsi="Tahoma" w:cs="Tahoma"/>
        </w:rPr>
      </w:pPr>
      <w:r w:rsidRPr="008256D2">
        <w:rPr>
          <w:rFonts w:ascii="Tahoma" w:hAnsi="Tahoma" w:cs="Tahoma"/>
        </w:rPr>
        <w:t xml:space="preserve">Ponudnik mora </w:t>
      </w:r>
      <w:r w:rsidRPr="007E2AA7">
        <w:rPr>
          <w:rFonts w:ascii="Tahoma" w:hAnsi="Tahoma" w:cs="Tahoma"/>
        </w:rPr>
        <w:t>v Prilogi 6/2 navesti</w:t>
      </w:r>
      <w:r w:rsidRPr="008256D2">
        <w:rPr>
          <w:rFonts w:ascii="Tahoma" w:hAnsi="Tahoma" w:cs="Tahoma"/>
        </w:rPr>
        <w:t xml:space="preserve"> nabavno ceno vozila, vrsto energenta, </w:t>
      </w:r>
      <w:r>
        <w:rPr>
          <w:rFonts w:ascii="Tahoma" w:hAnsi="Tahoma" w:cs="Tahoma"/>
        </w:rPr>
        <w:t xml:space="preserve">emisije dušikovih oksidov </w:t>
      </w:r>
      <w:r w:rsidRPr="008256D2">
        <w:rPr>
          <w:rFonts w:ascii="Tahoma" w:hAnsi="Tahoma" w:cs="Tahoma"/>
        </w:rPr>
        <w:t xml:space="preserve">in emisije trdnih delcev ter k ponudbi priložiti tehnično dokumentacijo proizvajalca oziroma potrdilo o skladnosti, iz katerih </w:t>
      </w:r>
      <w:r>
        <w:rPr>
          <w:rFonts w:ascii="Tahoma" w:hAnsi="Tahoma" w:cs="Tahoma"/>
        </w:rPr>
        <w:t>so razvidne vrednosti zahtevanih meril</w:t>
      </w:r>
      <w:r w:rsidRPr="008256D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Vsa vozila morajo izpolnjevati kriterij, da imajo </w:t>
      </w:r>
      <w:r>
        <w:rPr>
          <w:rFonts w:ascii="Tahoma" w:hAnsi="Tahoma" w:cs="Tahoma"/>
          <w:szCs w:val="22"/>
        </w:rPr>
        <w:t>10 % manjše emisije onesnažil</w:t>
      </w:r>
      <w:r w:rsidRPr="00B7464D">
        <w:rPr>
          <w:rFonts w:ascii="Tahoma" w:hAnsi="Tahoma" w:cs="Tahoma"/>
          <w:szCs w:val="22"/>
        </w:rPr>
        <w:t>, ki jih kot najvišje dovoljene določa standard EURO</w:t>
      </w:r>
      <w:r>
        <w:rPr>
          <w:rFonts w:ascii="Tahoma" w:hAnsi="Tahoma" w:cs="Tahoma"/>
          <w:szCs w:val="22"/>
        </w:rPr>
        <w:t xml:space="preserve"> VI.</w:t>
      </w:r>
    </w:p>
    <w:p w:rsidR="00F40A62" w:rsidRPr="00881079" w:rsidRDefault="00F40A62" w:rsidP="00F40A62">
      <w:pPr>
        <w:rPr>
          <w:rFonts w:ascii="Tahoma" w:hAnsi="Tahoma" w:cs="Tahoma"/>
        </w:rPr>
      </w:pPr>
    </w:p>
    <w:p w:rsidR="00F40A62" w:rsidRDefault="00F40A62" w:rsidP="00F40A62">
      <w:pPr>
        <w:rPr>
          <w:rFonts w:ascii="Tahoma" w:hAnsi="Tahoma" w:cs="Tahoma"/>
          <w:b/>
          <w:color w:val="000000"/>
        </w:rPr>
      </w:pPr>
      <w:r w:rsidRPr="00881079">
        <w:rPr>
          <w:rFonts w:ascii="Tahoma" w:hAnsi="Tahoma" w:cs="Tahoma"/>
          <w:b/>
          <w:color w:val="000000"/>
        </w:rPr>
        <w:t>TOČKE ZA TEHNIČNO</w:t>
      </w:r>
      <w:r>
        <w:rPr>
          <w:rFonts w:ascii="Tahoma" w:hAnsi="Tahoma" w:cs="Tahoma"/>
          <w:b/>
          <w:color w:val="000000"/>
        </w:rPr>
        <w:t xml:space="preserve"> IZVEDBO POSAMEZNE KOMPONENTE 15</w:t>
      </w:r>
      <w:r w:rsidRPr="00881079">
        <w:rPr>
          <w:rFonts w:ascii="Tahoma" w:hAnsi="Tahoma" w:cs="Tahoma"/>
          <w:b/>
          <w:color w:val="000000"/>
        </w:rPr>
        <w:t xml:space="preserve"> m MEDKRAJEVNEGA ENOJNEGA AVTOBUSA, RAZRED II</w:t>
      </w:r>
      <w:r>
        <w:rPr>
          <w:rFonts w:ascii="Tahoma" w:hAnsi="Tahoma" w:cs="Tahoma"/>
          <w:b/>
          <w:color w:val="000000"/>
        </w:rPr>
        <w:t>,</w:t>
      </w:r>
      <w:r w:rsidRPr="0090085C">
        <w:t xml:space="preserve"> </w:t>
      </w:r>
      <w:r w:rsidRPr="0090085C">
        <w:rPr>
          <w:rFonts w:ascii="Tahoma" w:hAnsi="Tahoma" w:cs="Tahoma"/>
          <w:b/>
          <w:color w:val="000000"/>
        </w:rPr>
        <w:t>izvedba »</w:t>
      </w:r>
      <w:proofErr w:type="spellStart"/>
      <w:r w:rsidRPr="0090085C">
        <w:rPr>
          <w:rFonts w:ascii="Tahoma" w:hAnsi="Tahoma" w:cs="Tahoma"/>
          <w:b/>
          <w:color w:val="000000"/>
        </w:rPr>
        <w:t>Low</w:t>
      </w:r>
      <w:proofErr w:type="spellEnd"/>
      <w:r w:rsidRPr="0090085C">
        <w:rPr>
          <w:rFonts w:ascii="Tahoma" w:hAnsi="Tahoma" w:cs="Tahoma"/>
          <w:b/>
          <w:color w:val="000000"/>
        </w:rPr>
        <w:t xml:space="preserve"> </w:t>
      </w:r>
      <w:proofErr w:type="spellStart"/>
      <w:r w:rsidRPr="0090085C">
        <w:rPr>
          <w:rFonts w:ascii="Tahoma" w:hAnsi="Tahoma" w:cs="Tahoma"/>
          <w:b/>
          <w:color w:val="000000"/>
        </w:rPr>
        <w:t>entry</w:t>
      </w:r>
      <w:proofErr w:type="spellEnd"/>
      <w:r w:rsidRPr="0090085C">
        <w:rPr>
          <w:rFonts w:ascii="Tahoma" w:hAnsi="Tahoma" w:cs="Tahoma"/>
          <w:b/>
          <w:color w:val="000000"/>
        </w:rPr>
        <w:t>«</w:t>
      </w:r>
      <w:r>
        <w:rPr>
          <w:rFonts w:ascii="Tahoma" w:hAnsi="Tahoma" w:cs="Tahoma"/>
          <w:b/>
          <w:color w:val="000000"/>
        </w:rPr>
        <w:t xml:space="preserve"> </w:t>
      </w:r>
      <w:r w:rsidRPr="00881079">
        <w:rPr>
          <w:rFonts w:ascii="Tahoma" w:hAnsi="Tahoma" w:cs="Tahoma"/>
          <w:b/>
          <w:color w:val="000000"/>
        </w:rPr>
        <w:t>:</w:t>
      </w:r>
    </w:p>
    <w:p w:rsidR="00856912" w:rsidRDefault="00856912" w:rsidP="00F40A62">
      <w:pPr>
        <w:rPr>
          <w:rFonts w:ascii="Tahoma" w:hAnsi="Tahoma" w:cs="Tahoma"/>
          <w:b/>
          <w:color w:val="000000"/>
        </w:rPr>
      </w:pPr>
    </w:p>
    <w:p w:rsidR="00856912" w:rsidRDefault="00856912" w:rsidP="00F40A62">
      <w:pPr>
        <w:rPr>
          <w:rFonts w:ascii="Tahoma" w:hAnsi="Tahoma" w:cs="Tahoma"/>
          <w:b/>
          <w:color w:val="000000"/>
        </w:rPr>
      </w:pPr>
    </w:p>
    <w:p w:rsidR="00856912" w:rsidRPr="00881079" w:rsidRDefault="00856912" w:rsidP="00F40A62">
      <w:pPr>
        <w:rPr>
          <w:rFonts w:ascii="Tahoma" w:hAnsi="Tahoma" w:cs="Tahoma"/>
          <w:b/>
          <w:color w:val="000000"/>
        </w:rPr>
      </w:pPr>
      <w:bookmarkStart w:id="0" w:name="_GoBack"/>
      <w:bookmarkEnd w:id="0"/>
    </w:p>
    <w:p w:rsidR="00F40A62" w:rsidRPr="00881079" w:rsidRDefault="00F40A62" w:rsidP="00F40A62">
      <w:pPr>
        <w:rPr>
          <w:rFonts w:ascii="Tahoma" w:hAnsi="Tahoma" w:cs="Tahoma"/>
        </w:rPr>
      </w:pPr>
    </w:p>
    <w:tbl>
      <w:tblPr>
        <w:tblW w:w="6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800"/>
        <w:gridCol w:w="960"/>
      </w:tblGrid>
      <w:tr w:rsidR="00F40A62" w:rsidRPr="00881079" w:rsidTr="008C041A">
        <w:trPr>
          <w:trHeight w:val="555"/>
          <w:jc w:val="center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81079">
              <w:rPr>
                <w:rFonts w:ascii="Tahoma" w:hAnsi="Tahoma" w:cs="Tahoma"/>
                <w:b/>
                <w:bCs/>
                <w:color w:val="000000"/>
              </w:rPr>
              <w:lastRenderedPageBreak/>
              <w:t>Poz.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881079">
              <w:rPr>
                <w:rFonts w:ascii="Tahoma" w:hAnsi="Tahoma" w:cs="Tahoma"/>
                <w:b/>
                <w:bCs/>
                <w:color w:val="000000"/>
              </w:rPr>
              <w:t>Izvedba komponente vozila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881079">
              <w:rPr>
                <w:rFonts w:ascii="Tahoma" w:hAnsi="Tahoma" w:cs="Tahoma"/>
                <w:b/>
                <w:bCs/>
                <w:color w:val="000000"/>
              </w:rPr>
              <w:t>Točke (T</w:t>
            </w:r>
            <w:r w:rsidRPr="00881079">
              <w:rPr>
                <w:rFonts w:ascii="Tahoma" w:hAnsi="Tahoma" w:cs="Tahoma"/>
                <w:b/>
                <w:bCs/>
                <w:color w:val="000000"/>
                <w:vertAlign w:val="subscript"/>
              </w:rPr>
              <w:t>TI</w:t>
            </w:r>
            <w:r w:rsidRPr="00881079">
              <w:rPr>
                <w:rFonts w:ascii="Tahoma" w:hAnsi="Tahoma" w:cs="Tahoma"/>
                <w:b/>
                <w:bCs/>
                <w:color w:val="000000"/>
              </w:rPr>
              <w:t>)</w:t>
            </w:r>
          </w:p>
        </w:tc>
      </w:tr>
      <w:tr w:rsidR="00F40A62" w:rsidRPr="00881079" w:rsidTr="008C041A">
        <w:trPr>
          <w:trHeight w:val="780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 w:rsidRPr="001E77E5">
              <w:rPr>
                <w:rFonts w:ascii="Tahoma" w:hAnsi="Tahoma" w:cs="Tahoma"/>
              </w:rPr>
              <w:t xml:space="preserve">Oddaljenost pooblaščene servisne delavnice od lokacije  LPP </w:t>
            </w:r>
            <w:proofErr w:type="spellStart"/>
            <w:r w:rsidRPr="001E77E5">
              <w:rPr>
                <w:rFonts w:ascii="Tahoma" w:hAnsi="Tahoma" w:cs="Tahoma"/>
              </w:rPr>
              <w:t>d.o.o</w:t>
            </w:r>
            <w:proofErr w:type="spellEnd"/>
            <w:r w:rsidRPr="001E77E5">
              <w:rPr>
                <w:rFonts w:ascii="Tahoma" w:hAnsi="Tahoma" w:cs="Tahoma"/>
              </w:rPr>
              <w:t xml:space="preserve">. je manjša ali enaka 10 km (določitev s pomočjo Google </w:t>
            </w:r>
            <w:proofErr w:type="spellStart"/>
            <w:r w:rsidRPr="001E77E5">
              <w:rPr>
                <w:rFonts w:ascii="Tahoma" w:hAnsi="Tahoma" w:cs="Tahoma"/>
              </w:rPr>
              <w:t>Maps</w:t>
            </w:r>
            <w:proofErr w:type="spellEnd"/>
            <w:r>
              <w:rPr>
                <w:rFonts w:ascii="Tahoma" w:hAnsi="Tahoma" w:cs="Tahoma"/>
              </w:rPr>
              <w:t xml:space="preserve"> – upošteva se najkrajša razdalja</w:t>
            </w:r>
            <w:r w:rsidRPr="001E77E5">
              <w:rPr>
                <w:rFonts w:ascii="Tahoma" w:hAnsi="Tahoma" w:cs="Tahoma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 w:rsidRPr="00C539B8">
              <w:rPr>
                <w:rFonts w:ascii="Tahoma" w:hAnsi="Tahoma" w:cs="Tahoma"/>
                <w:color w:val="000000"/>
              </w:rPr>
              <w:t>Višina spodnjega roba zasteklitve v sprednjem nizkopodnem potniškem delu avtobusa merjena od notranje višine tal, manjša od 70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Sistem za inteligentno upravljanje z električno energijo s pametnim senzorjem na </w:t>
            </w:r>
            <w:proofErr w:type="spellStart"/>
            <w:r>
              <w:rPr>
                <w:rFonts w:ascii="Tahoma" w:hAnsi="Tahoma" w:cs="Tahoma"/>
                <w:color w:val="000000"/>
              </w:rPr>
              <w:t>klemi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akumulatorja, ki posreduje natančne informacije o stanju baterije. Sistem lahko izklaplja posamezne električne porabnike v primeru negativnega električnega toka in prilagaja vrtilno frekvenco prostega teka motorja.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F40A62" w:rsidRPr="00881079" w:rsidTr="008C041A">
        <w:trPr>
          <w:trHeight w:val="52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Dimenzija avtoplaščev 295/80 R22,5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881079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Električno pomično voznikovo okno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2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 w:rsidRPr="008A0481">
              <w:rPr>
                <w:rFonts w:ascii="Tahoma" w:hAnsi="Tahoma" w:cs="Tahoma"/>
              </w:rPr>
              <w:t>Vzvratna kamera z avtomatskim sistemom pranja ali avtomatskim poklopcem, ki preprečuje nalaganje umazanije na vzvratni kameri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3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 w:rsidRPr="008A0481">
              <w:rPr>
                <w:rFonts w:ascii="Tahoma" w:hAnsi="Tahoma" w:cs="Tahoma"/>
              </w:rPr>
              <w:t>Število homologiran</w:t>
            </w:r>
            <w:r>
              <w:rPr>
                <w:rFonts w:ascii="Tahoma" w:hAnsi="Tahoma" w:cs="Tahoma"/>
              </w:rPr>
              <w:t>ih stojišč večje ali enako od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5</w:t>
            </w:r>
          </w:p>
        </w:tc>
      </w:tr>
      <w:tr w:rsidR="00F40A62" w:rsidRPr="00881079" w:rsidTr="008C041A">
        <w:trPr>
          <w:trHeight w:val="315"/>
          <w:jc w:val="center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Delni izklop delovanja 1 cilindra kompresorja klime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A62" w:rsidRPr="001E77E5" w:rsidRDefault="00F40A62" w:rsidP="008C041A">
            <w:pPr>
              <w:jc w:val="center"/>
              <w:rPr>
                <w:rFonts w:ascii="Tahoma" w:hAnsi="Tahoma" w:cs="Tahoma"/>
                <w:color w:val="000000"/>
              </w:rPr>
            </w:pPr>
            <w:r w:rsidRPr="003B7971">
              <w:rPr>
                <w:rFonts w:ascii="Tahoma" w:hAnsi="Tahoma" w:cs="Tahoma"/>
                <w:color w:val="000000"/>
              </w:rPr>
              <w:t>2</w:t>
            </w:r>
          </w:p>
        </w:tc>
      </w:tr>
    </w:tbl>
    <w:p w:rsidR="00081FB5" w:rsidRPr="00F40A62" w:rsidRDefault="00856912" w:rsidP="00F40A62"/>
    <w:sectPr w:rsidR="00081FB5" w:rsidRPr="00F4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03B5"/>
    <w:multiLevelType w:val="hybridMultilevel"/>
    <w:tmpl w:val="7E867A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2CDC7A04">
      <w:start w:val="10"/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570E0"/>
    <w:multiLevelType w:val="multilevel"/>
    <w:tmpl w:val="1164A5E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62"/>
    <w:rsid w:val="002F0BAB"/>
    <w:rsid w:val="003705B0"/>
    <w:rsid w:val="00856912"/>
    <w:rsid w:val="00AE2175"/>
    <w:rsid w:val="00F40A62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723C"/>
  <w15:chartTrackingRefBased/>
  <w15:docId w15:val="{0AA8FDDA-CD7D-4792-9FD7-8B8346ED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0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40A62"/>
    <w:pPr>
      <w:ind w:left="708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F40A6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Nahtigal</dc:creator>
  <cp:keywords/>
  <dc:description/>
  <cp:lastModifiedBy>Jana Nahtigal</cp:lastModifiedBy>
  <cp:revision>2</cp:revision>
  <dcterms:created xsi:type="dcterms:W3CDTF">2021-07-13T07:38:00Z</dcterms:created>
  <dcterms:modified xsi:type="dcterms:W3CDTF">2021-07-13T07:43:00Z</dcterms:modified>
</cp:coreProperties>
</file>