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0375C7" w:rsidRPr="00570BBD" w:rsidTr="00E24415">
        <w:tc>
          <w:tcPr>
            <w:tcW w:w="8161" w:type="dxa"/>
            <w:tcBorders>
              <w:top w:val="single" w:sz="4" w:space="0" w:color="auto"/>
              <w:bottom w:val="single" w:sz="4" w:space="0" w:color="auto"/>
              <w:right w:val="single" w:sz="4" w:space="0" w:color="auto"/>
            </w:tcBorders>
            <w:hideMark/>
          </w:tcPr>
          <w:p w:rsidR="000375C7" w:rsidRPr="00570BBD" w:rsidRDefault="000375C7" w:rsidP="00E24415">
            <w:pPr>
              <w:keepNext/>
              <w:spacing w:after="0" w:line="240" w:lineRule="auto"/>
              <w:rPr>
                <w:rFonts w:ascii="Tahoma" w:eastAsia="Times New Roman" w:hAnsi="Tahoma" w:cs="Times New Roman"/>
                <w:sz w:val="20"/>
                <w:szCs w:val="20"/>
                <w:lang w:eastAsia="sl-SI"/>
              </w:rPr>
            </w:pPr>
            <w:r w:rsidRPr="00570BBD">
              <w:rPr>
                <w:rFonts w:ascii="Tahoma" w:eastAsia="Times New Roman" w:hAnsi="Tahoma" w:cs="Times New Roman"/>
                <w:sz w:val="20"/>
                <w:szCs w:val="20"/>
                <w:lang w:eastAsia="sl-SI"/>
              </w:rPr>
              <w:t>INFORMACIJE O PONUJENEM MATERIALU</w:t>
            </w:r>
          </w:p>
        </w:tc>
        <w:tc>
          <w:tcPr>
            <w:tcW w:w="972" w:type="dxa"/>
            <w:tcBorders>
              <w:top w:val="single" w:sz="4" w:space="0" w:color="auto"/>
              <w:left w:val="single" w:sz="4" w:space="0" w:color="auto"/>
              <w:bottom w:val="single" w:sz="4" w:space="0" w:color="auto"/>
              <w:right w:val="nil"/>
            </w:tcBorders>
            <w:hideMark/>
          </w:tcPr>
          <w:p w:rsidR="000375C7" w:rsidRPr="00570BBD" w:rsidRDefault="000375C7" w:rsidP="00E24415">
            <w:pPr>
              <w:keepNext/>
              <w:spacing w:after="0" w:line="240" w:lineRule="auto"/>
              <w:jc w:val="right"/>
              <w:rPr>
                <w:rFonts w:ascii="Tahoma" w:eastAsia="Times New Roman" w:hAnsi="Tahoma" w:cs="Times New Roman"/>
                <w:b/>
                <w:sz w:val="20"/>
                <w:szCs w:val="20"/>
                <w:lang w:eastAsia="sl-SI"/>
              </w:rPr>
            </w:pPr>
            <w:r w:rsidRPr="00570BBD">
              <w:rPr>
                <w:rFonts w:ascii="Tahoma" w:eastAsia="Times New Roman" w:hAnsi="Tahoma" w:cs="Times New Roman"/>
                <w:b/>
                <w:i/>
                <w:sz w:val="20"/>
                <w:szCs w:val="20"/>
                <w:lang w:eastAsia="sl-SI"/>
              </w:rPr>
              <w:t xml:space="preserve">Priloga </w:t>
            </w:r>
          </w:p>
        </w:tc>
        <w:tc>
          <w:tcPr>
            <w:tcW w:w="587" w:type="dxa"/>
            <w:tcBorders>
              <w:top w:val="single" w:sz="4" w:space="0" w:color="auto"/>
              <w:left w:val="nil"/>
              <w:bottom w:val="single" w:sz="4" w:space="0" w:color="auto"/>
            </w:tcBorders>
            <w:hideMark/>
          </w:tcPr>
          <w:p w:rsidR="000375C7" w:rsidRPr="00570BBD" w:rsidRDefault="000375C7" w:rsidP="00E24415">
            <w:pPr>
              <w:keepNext/>
              <w:spacing w:after="0" w:line="240" w:lineRule="auto"/>
              <w:rPr>
                <w:rFonts w:ascii="Tahoma" w:eastAsia="Times New Roman" w:hAnsi="Tahoma" w:cs="Times New Roman"/>
                <w:b/>
                <w:i/>
                <w:sz w:val="20"/>
                <w:szCs w:val="20"/>
                <w:lang w:eastAsia="sl-SI"/>
              </w:rPr>
            </w:pPr>
            <w:r w:rsidRPr="00570BBD">
              <w:rPr>
                <w:rFonts w:ascii="Tahoma" w:eastAsia="Times New Roman" w:hAnsi="Tahoma" w:cs="Times New Roman"/>
                <w:b/>
                <w:i/>
                <w:sz w:val="20"/>
                <w:szCs w:val="20"/>
                <w:lang w:eastAsia="sl-SI"/>
              </w:rPr>
              <w:t>20</w:t>
            </w:r>
          </w:p>
        </w:tc>
      </w:tr>
    </w:tbl>
    <w:p w:rsidR="000375C7" w:rsidRPr="00570BBD" w:rsidRDefault="000375C7" w:rsidP="000375C7">
      <w:pPr>
        <w:keepNext/>
        <w:spacing w:after="0" w:line="240" w:lineRule="auto"/>
        <w:jc w:val="both"/>
        <w:rPr>
          <w:rFonts w:ascii="Tahoma" w:eastAsia="Times New Roman" w:hAnsi="Tahoma" w:cs="Tahoma"/>
          <w:sz w:val="20"/>
          <w:szCs w:val="20"/>
          <w:lang w:eastAsia="sl-SI"/>
        </w:rPr>
      </w:pPr>
    </w:p>
    <w:p w:rsidR="000375C7" w:rsidRPr="00570BBD" w:rsidRDefault="000375C7" w:rsidP="000375C7">
      <w:pPr>
        <w:keepNext/>
        <w:spacing w:after="0" w:line="240" w:lineRule="auto"/>
        <w:rPr>
          <w:rFonts w:ascii="Tahoma" w:eastAsia="Times New Roman" w:hAnsi="Tahoma" w:cs="Tahoma"/>
          <w:sz w:val="20"/>
          <w:szCs w:val="20"/>
          <w:lang w:eastAsia="sl-SI"/>
        </w:rPr>
      </w:pPr>
    </w:p>
    <w:p w:rsidR="000375C7" w:rsidRPr="00570BBD" w:rsidRDefault="000375C7" w:rsidP="000375C7">
      <w:pPr>
        <w:keepNext/>
        <w:spacing w:after="0" w:line="240" w:lineRule="auto"/>
        <w:rPr>
          <w:rFonts w:ascii="Times New Roman" w:eastAsia="Times New Roman" w:hAnsi="Times New Roman" w:cs="Times New Roman"/>
          <w:sz w:val="20"/>
          <w:szCs w:val="20"/>
          <w:lang w:eastAsia="sl-SI"/>
        </w:rPr>
      </w:pPr>
      <w:r w:rsidRPr="00570BBD">
        <w:rPr>
          <w:rFonts w:ascii="Times New Roman" w:eastAsia="Times New Roman" w:hAnsi="Times New Roman" w:cs="Times New Roman"/>
          <w:sz w:val="20"/>
          <w:szCs w:val="20"/>
          <w:lang w:eastAsia="sl-SI"/>
        </w:rPr>
        <w:t>Zahteve naročnika:</w:t>
      </w:r>
      <w:r w:rsidRPr="00570BBD">
        <w:rPr>
          <w:rFonts w:ascii="Times New Roman" w:eastAsia="Times New Roman" w:hAnsi="Times New Roman" w:cs="Times New Roman"/>
          <w:sz w:val="20"/>
          <w:szCs w:val="20"/>
          <w:lang w:eastAsia="sl-SI"/>
        </w:rPr>
        <w:tab/>
      </w:r>
      <w:r w:rsidRPr="00570BBD">
        <w:rPr>
          <w:rFonts w:ascii="Times New Roman" w:eastAsia="Times New Roman" w:hAnsi="Times New Roman" w:cs="Times New Roman"/>
          <w:sz w:val="20"/>
          <w:szCs w:val="20"/>
          <w:lang w:eastAsia="sl-SI"/>
        </w:rPr>
        <w:tab/>
      </w:r>
      <w:r w:rsidRPr="00570BBD">
        <w:rPr>
          <w:rFonts w:ascii="Times New Roman" w:eastAsia="Times New Roman" w:hAnsi="Times New Roman" w:cs="Times New Roman"/>
          <w:sz w:val="20"/>
          <w:szCs w:val="20"/>
          <w:lang w:eastAsia="sl-SI"/>
        </w:rPr>
        <w:tab/>
      </w:r>
      <w:r w:rsidRPr="00570BBD">
        <w:rPr>
          <w:rFonts w:ascii="Times New Roman" w:eastAsia="Times New Roman" w:hAnsi="Times New Roman" w:cs="Times New Roman"/>
          <w:sz w:val="20"/>
          <w:szCs w:val="20"/>
          <w:lang w:eastAsia="sl-SI"/>
        </w:rPr>
        <w:tab/>
      </w:r>
      <w:r w:rsidRPr="00570BBD">
        <w:rPr>
          <w:rFonts w:ascii="Times New Roman" w:eastAsia="Times New Roman" w:hAnsi="Times New Roman" w:cs="Times New Roman"/>
          <w:sz w:val="20"/>
          <w:szCs w:val="20"/>
          <w:lang w:eastAsia="sl-SI"/>
        </w:rPr>
        <w:tab/>
      </w: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96"/>
      </w:tblGrid>
      <w:tr w:rsidR="000375C7" w:rsidRPr="00570BBD" w:rsidTr="00E24415">
        <w:trPr>
          <w:trHeight w:val="195"/>
        </w:trPr>
        <w:tc>
          <w:tcPr>
            <w:tcW w:w="9796" w:type="dxa"/>
            <w:tcBorders>
              <w:bottom w:val="nil"/>
            </w:tcBorders>
            <w:noWrap/>
            <w:vAlign w:val="bottom"/>
            <w:hideMark/>
          </w:tcPr>
          <w:p w:rsidR="000375C7" w:rsidRPr="00570BBD" w:rsidRDefault="000375C7" w:rsidP="00E24415">
            <w:pPr>
              <w:rPr>
                <w:rFonts w:ascii="Arial" w:hAnsi="Arial" w:cs="Arial"/>
                <w:sz w:val="18"/>
                <w:szCs w:val="18"/>
              </w:rPr>
            </w:pPr>
            <w:r>
              <w:rPr>
                <w:rFonts w:ascii="Arial" w:hAnsi="Arial" w:cs="Arial"/>
                <w:sz w:val="18"/>
                <w:szCs w:val="18"/>
              </w:rPr>
              <w:br/>
              <w:t>Cevi iz nodularne litine morajo biti izdelane na obojko v skladu s EN 545:2010 najmanj preferenčnega tlačnega razreda C40 (do vključno DN300), C30 (do vključno DN600), z odgovarjajočimi spoji za različne primere vgradnje (STD, STD VI, UNI Ve) in dolžino 6 m.</w:t>
            </w:r>
            <w:r>
              <w:rPr>
                <w:rFonts w:ascii="Arial" w:hAnsi="Arial" w:cs="Arial"/>
                <w:sz w:val="18"/>
                <w:szCs w:val="18"/>
              </w:rPr>
              <w:br/>
              <w:t>Cevi morajo biti na zunanji strani zaščitne z aktivno galvansko zaščito, ki omogoča vgradnjo cevi tudi v agresivnejšo zemljo (z zlitino Zn + Al minimalne debeline 400 g/m2 v razmerju 85% Zn in ostalo Al ter ostale kovine) in z modrim pokrivnim nanosom, na notranji strani pa s cementno oblogo; vse v skladu z EN545:2010 (cementna obloga mora biti narejena s pitno vodo, cement tipa CEM III-B ex BFC pa mora biti v skladu z EN197-1 z CE oznako (certifikat)). Vse vrste  obojčnih tesnil oz. spojev mora biti zaradi zagotovitve kvalitete spoja preizkušeno skupaj s cevmi (certifikat)</w:t>
            </w:r>
          </w:p>
        </w:tc>
      </w:tr>
      <w:tr w:rsidR="000375C7" w:rsidRPr="00570BBD" w:rsidTr="00E24415">
        <w:trPr>
          <w:trHeight w:val="774"/>
        </w:trPr>
        <w:tc>
          <w:tcPr>
            <w:tcW w:w="9796" w:type="dxa"/>
            <w:noWrap/>
            <w:vAlign w:val="center"/>
          </w:tcPr>
          <w:p w:rsidR="000375C7" w:rsidRPr="00570BBD" w:rsidRDefault="000375C7" w:rsidP="00E24415">
            <w:pPr>
              <w:keepNext/>
              <w:spacing w:after="0" w:line="240" w:lineRule="auto"/>
              <w:jc w:val="center"/>
              <w:rPr>
                <w:rFonts w:ascii="Times New Roman" w:eastAsia="Times New Roman" w:hAnsi="Times New Roman" w:cs="Times New Roman"/>
                <w:b/>
                <w:bCs/>
                <w:i/>
                <w:iCs/>
                <w:color w:val="5B9BD5" w:themeColor="accent1"/>
                <w:sz w:val="20"/>
                <w:szCs w:val="20"/>
                <w:lang w:eastAsia="sl-SI"/>
              </w:rPr>
            </w:pPr>
          </w:p>
          <w:p w:rsidR="000375C7" w:rsidRDefault="000375C7" w:rsidP="00E24415">
            <w:pPr>
              <w:keepNext/>
              <w:spacing w:after="0" w:line="240" w:lineRule="auto"/>
              <w:rPr>
                <w:rFonts w:ascii="Times New Roman" w:eastAsia="Times New Roman" w:hAnsi="Times New Roman" w:cs="Times New Roman"/>
                <w:b/>
                <w:bCs/>
                <w:i/>
                <w:iCs/>
                <w:color w:val="5B9BD5" w:themeColor="accent1"/>
                <w:sz w:val="20"/>
                <w:szCs w:val="20"/>
                <w:lang w:eastAsia="sl-SI"/>
              </w:rPr>
            </w:pPr>
          </w:p>
          <w:p w:rsidR="000375C7" w:rsidRPr="00570BBD" w:rsidRDefault="000375C7" w:rsidP="00E24415">
            <w:pPr>
              <w:keepNext/>
              <w:spacing w:after="0" w:line="240" w:lineRule="auto"/>
              <w:rPr>
                <w:rFonts w:ascii="Times New Roman" w:eastAsia="Times New Roman" w:hAnsi="Times New Roman" w:cs="Times New Roman"/>
                <w:b/>
                <w:bCs/>
                <w:i/>
                <w:iCs/>
                <w:color w:val="5B9BD5" w:themeColor="accent1"/>
                <w:sz w:val="20"/>
                <w:szCs w:val="20"/>
                <w:lang w:eastAsia="sl-SI"/>
              </w:rPr>
            </w:pPr>
            <w:r w:rsidRPr="00570BBD">
              <w:rPr>
                <w:rFonts w:ascii="Times New Roman" w:eastAsia="Times New Roman" w:hAnsi="Times New Roman" w:cs="Times New Roman"/>
                <w:b/>
                <w:bCs/>
                <w:i/>
                <w:iCs/>
                <w:color w:val="5B9BD5" w:themeColor="accent1"/>
                <w:sz w:val="20"/>
                <w:szCs w:val="20"/>
                <w:lang w:eastAsia="sl-SI"/>
              </w:rPr>
              <w:t>Navedba proizvajalca in tipa proizvoda</w:t>
            </w:r>
          </w:p>
          <w:p w:rsidR="000375C7" w:rsidRPr="00570BBD" w:rsidRDefault="000375C7" w:rsidP="00E24415">
            <w:pPr>
              <w:keepNext/>
              <w:spacing w:after="0" w:line="240" w:lineRule="auto"/>
              <w:jc w:val="center"/>
              <w:rPr>
                <w:rFonts w:ascii="Times New Roman" w:eastAsia="Times New Roman" w:hAnsi="Times New Roman" w:cs="Times New Roman"/>
                <w:b/>
                <w:bCs/>
                <w:i/>
                <w:iCs/>
                <w:color w:val="5B9BD5" w:themeColor="accent1"/>
                <w:sz w:val="20"/>
                <w:szCs w:val="20"/>
                <w:lang w:eastAsia="sl-SI"/>
              </w:rPr>
            </w:pPr>
          </w:p>
        </w:tc>
      </w:tr>
      <w:tr w:rsidR="000375C7" w:rsidRPr="00570BBD" w:rsidTr="00E24415">
        <w:trPr>
          <w:trHeight w:val="195"/>
        </w:trPr>
        <w:tc>
          <w:tcPr>
            <w:tcW w:w="9796" w:type="dxa"/>
            <w:tcBorders>
              <w:bottom w:val="nil"/>
            </w:tcBorders>
            <w:noWrap/>
            <w:vAlign w:val="bottom"/>
          </w:tcPr>
          <w:p w:rsidR="000375C7" w:rsidRPr="00570BBD" w:rsidRDefault="000375C7" w:rsidP="00E24415">
            <w:pPr>
              <w:rPr>
                <w:rFonts w:ascii="Arial" w:hAnsi="Arial" w:cs="Arial"/>
                <w:sz w:val="18"/>
                <w:szCs w:val="18"/>
              </w:rPr>
            </w:pPr>
            <w:r>
              <w:rPr>
                <w:rFonts w:ascii="Arial" w:hAnsi="Arial" w:cs="Arial"/>
                <w:sz w:val="18"/>
                <w:szCs w:val="18"/>
              </w:rPr>
              <w:br/>
              <w:t xml:space="preserve">Cevi iz PE morajo biti izdelane v skladu s standardom DIN 8074/8075, SIST EN 12201, (DIN EN 12201), SIST EN 1555 za delovne tlake do 16 bar. Tip materiala PE 80 in 100. Material za cevi, mora biti dobre in ustrezne kvalitete za delo pod specifičnimi pogoji in pod prometno obtežbo, tlaku v ceveh, koroziji in spreminjanju temperaturnih in klimatskih sprememb brez poškodb ali okvar. </w:t>
            </w:r>
          </w:p>
        </w:tc>
      </w:tr>
      <w:tr w:rsidR="000375C7" w:rsidRPr="00570BBD" w:rsidTr="00E24415">
        <w:trPr>
          <w:trHeight w:val="195"/>
        </w:trPr>
        <w:tc>
          <w:tcPr>
            <w:tcW w:w="9796" w:type="dxa"/>
            <w:noWrap/>
            <w:vAlign w:val="center"/>
          </w:tcPr>
          <w:p w:rsidR="000375C7" w:rsidRPr="00570BBD" w:rsidRDefault="000375C7" w:rsidP="00E24415">
            <w:pPr>
              <w:keepNext/>
              <w:spacing w:after="0" w:line="240" w:lineRule="auto"/>
              <w:jc w:val="center"/>
              <w:rPr>
                <w:rFonts w:ascii="Times New Roman" w:eastAsia="Times New Roman" w:hAnsi="Times New Roman" w:cs="Times New Roman"/>
                <w:b/>
                <w:bCs/>
                <w:i/>
                <w:iCs/>
                <w:color w:val="5B9BD5" w:themeColor="accent1"/>
                <w:sz w:val="20"/>
                <w:szCs w:val="20"/>
                <w:lang w:eastAsia="sl-SI"/>
              </w:rPr>
            </w:pPr>
          </w:p>
          <w:p w:rsidR="000375C7" w:rsidRDefault="000375C7" w:rsidP="00E24415">
            <w:pPr>
              <w:keepNext/>
              <w:spacing w:after="0" w:line="240" w:lineRule="auto"/>
              <w:rPr>
                <w:rFonts w:ascii="Times New Roman" w:eastAsia="Times New Roman" w:hAnsi="Times New Roman" w:cs="Times New Roman"/>
                <w:b/>
                <w:bCs/>
                <w:i/>
                <w:iCs/>
                <w:color w:val="5B9BD5" w:themeColor="accent1"/>
                <w:sz w:val="20"/>
                <w:szCs w:val="20"/>
                <w:lang w:eastAsia="sl-SI"/>
              </w:rPr>
            </w:pPr>
          </w:p>
          <w:p w:rsidR="000375C7" w:rsidRPr="00570BBD" w:rsidRDefault="000375C7" w:rsidP="00E24415">
            <w:pPr>
              <w:keepNext/>
              <w:spacing w:after="0" w:line="240" w:lineRule="auto"/>
              <w:rPr>
                <w:rFonts w:ascii="Times New Roman" w:eastAsia="Times New Roman" w:hAnsi="Times New Roman" w:cs="Times New Roman"/>
                <w:b/>
                <w:bCs/>
                <w:i/>
                <w:iCs/>
                <w:color w:val="5B9BD5" w:themeColor="accent1"/>
                <w:sz w:val="20"/>
                <w:szCs w:val="20"/>
                <w:lang w:eastAsia="sl-SI"/>
              </w:rPr>
            </w:pPr>
            <w:r w:rsidRPr="00570BBD">
              <w:rPr>
                <w:rFonts w:ascii="Times New Roman" w:eastAsia="Times New Roman" w:hAnsi="Times New Roman" w:cs="Times New Roman"/>
                <w:b/>
                <w:bCs/>
                <w:i/>
                <w:iCs/>
                <w:color w:val="5B9BD5" w:themeColor="accent1"/>
                <w:sz w:val="20"/>
                <w:szCs w:val="20"/>
                <w:lang w:eastAsia="sl-SI"/>
              </w:rPr>
              <w:t>Navedba proizvajalca in tipa proizvoda</w:t>
            </w:r>
          </w:p>
          <w:p w:rsidR="000375C7" w:rsidRPr="00570BBD" w:rsidRDefault="000375C7" w:rsidP="00E24415">
            <w:pPr>
              <w:keepNext/>
              <w:spacing w:after="0" w:line="240" w:lineRule="auto"/>
              <w:jc w:val="center"/>
              <w:rPr>
                <w:rFonts w:ascii="Times New Roman" w:eastAsia="Times New Roman" w:hAnsi="Times New Roman" w:cs="Times New Roman"/>
                <w:b/>
                <w:bCs/>
                <w:i/>
                <w:iCs/>
                <w:color w:val="5B9BD5" w:themeColor="accent1"/>
                <w:sz w:val="20"/>
                <w:szCs w:val="20"/>
                <w:lang w:eastAsia="sl-SI"/>
              </w:rPr>
            </w:pPr>
          </w:p>
        </w:tc>
      </w:tr>
      <w:tr w:rsidR="000375C7" w:rsidRPr="00570BBD" w:rsidTr="00E24415">
        <w:trPr>
          <w:trHeight w:val="1543"/>
        </w:trPr>
        <w:tc>
          <w:tcPr>
            <w:tcW w:w="9796" w:type="dxa"/>
            <w:tcBorders>
              <w:bottom w:val="nil"/>
            </w:tcBorders>
            <w:noWrap/>
            <w:vAlign w:val="bottom"/>
          </w:tcPr>
          <w:p w:rsidR="000375C7" w:rsidRPr="00570BBD" w:rsidRDefault="000375C7" w:rsidP="00E24415">
            <w:pPr>
              <w:rPr>
                <w:rFonts w:ascii="Arial" w:hAnsi="Arial" w:cs="Arial"/>
                <w:sz w:val="18"/>
                <w:szCs w:val="18"/>
              </w:rPr>
            </w:pPr>
            <w:r>
              <w:rPr>
                <w:rFonts w:ascii="Arial" w:hAnsi="Arial" w:cs="Arial"/>
                <w:sz w:val="18"/>
                <w:szCs w:val="18"/>
              </w:rPr>
              <w:br/>
              <w:t xml:space="preserve">Fazonski kosi iz nodularne litine so izdelani skladno s standardom EN 545:2010 z zunanjo in notranjo zaščito iz epoksi premaza debeline 250 μm oz. 70 μm v primeru izvedbe zaščite po postopku kataforeze.  Opremljeni morajo biti z odgovarjajočimi tesnili v skladu z EN 681-1 (certifikat). </w:t>
            </w:r>
            <w:r>
              <w:rPr>
                <w:rFonts w:ascii="Arial" w:hAnsi="Arial" w:cs="Arial"/>
                <w:sz w:val="18"/>
                <w:szCs w:val="18"/>
              </w:rPr>
              <w:br/>
              <w:t>Prirobnični fazonski kosi morajo imeti vrtljivo prirobnico, samo FF kosi pa imajo lahko fiksno. Fazonski kosi z vrtljivo prirobnico morajo biti istega proizvajalca kot cevi. Prirobnična tesnila morajo biti iz EPDM gume, ki ustreza uporabi v stiku s pitno vodo. Tesnila imajo vgrajen nosilni kovinski obroč in so profilirane oblike (na notranjem premeru ojačitev okrogle oblike). Vse v skladu s standardom SIST EN 1514-1.</w:t>
            </w:r>
            <w:r>
              <w:rPr>
                <w:rFonts w:ascii="Arial" w:hAnsi="Arial" w:cs="Arial"/>
                <w:sz w:val="18"/>
                <w:szCs w:val="18"/>
              </w:rPr>
              <w:br/>
              <w:t>Obojčni fazonski kosi morajo imeti STD, STD VI ali UNI Ve spoj. Spoji na obojčnih fazonskih kosih so enaki kot pri ceveh (isti proizvajalec). Vse vrste obojčnih tesnil oz. spojev mora biti zaradi zagotovitve kvalitete spoja preizkušeno skupaj s fazoni (certifikat). Obojčni fazonski kosi morajo biti od istega proizvajalca kot cevi.</w:t>
            </w:r>
          </w:p>
        </w:tc>
      </w:tr>
      <w:tr w:rsidR="000375C7" w:rsidRPr="00570BBD" w:rsidTr="00E24415">
        <w:trPr>
          <w:trHeight w:val="195"/>
        </w:trPr>
        <w:tc>
          <w:tcPr>
            <w:tcW w:w="9796" w:type="dxa"/>
            <w:noWrap/>
            <w:vAlign w:val="bottom"/>
            <w:hideMark/>
          </w:tcPr>
          <w:p w:rsidR="000375C7" w:rsidRPr="00570BBD" w:rsidRDefault="000375C7" w:rsidP="00E24415">
            <w:pPr>
              <w:keepNext/>
              <w:spacing w:after="0" w:line="240" w:lineRule="auto"/>
              <w:rPr>
                <w:rFonts w:ascii="Arial ce" w:eastAsia="Times New Roman" w:hAnsi="Arial ce" w:cs="Times New Roman"/>
                <w:color w:val="5B9BD5" w:themeColor="accent1"/>
                <w:sz w:val="16"/>
                <w:szCs w:val="16"/>
                <w:lang w:eastAsia="sl-SI"/>
              </w:rPr>
            </w:pPr>
          </w:p>
          <w:p w:rsidR="000375C7" w:rsidRDefault="000375C7" w:rsidP="00E24415">
            <w:pPr>
              <w:keepNext/>
              <w:spacing w:after="0" w:line="240" w:lineRule="auto"/>
              <w:rPr>
                <w:rFonts w:ascii="Times New Roman" w:eastAsia="Times New Roman" w:hAnsi="Times New Roman" w:cs="Times New Roman"/>
                <w:b/>
                <w:bCs/>
                <w:i/>
                <w:iCs/>
                <w:color w:val="5B9BD5" w:themeColor="accent1"/>
                <w:sz w:val="20"/>
                <w:szCs w:val="20"/>
                <w:lang w:eastAsia="sl-SI"/>
              </w:rPr>
            </w:pPr>
          </w:p>
          <w:p w:rsidR="000375C7" w:rsidRPr="00570BBD" w:rsidRDefault="000375C7" w:rsidP="00E24415">
            <w:pPr>
              <w:keepNext/>
              <w:spacing w:after="0" w:line="240" w:lineRule="auto"/>
              <w:rPr>
                <w:rFonts w:ascii="Arial ce" w:eastAsia="Times New Roman" w:hAnsi="Arial ce" w:cs="Times New Roman"/>
                <w:color w:val="5B9BD5" w:themeColor="accent1"/>
                <w:sz w:val="16"/>
                <w:szCs w:val="16"/>
                <w:lang w:eastAsia="sl-SI"/>
              </w:rPr>
            </w:pPr>
            <w:r w:rsidRPr="00570BBD">
              <w:rPr>
                <w:rFonts w:ascii="Times New Roman" w:eastAsia="Times New Roman" w:hAnsi="Times New Roman" w:cs="Times New Roman"/>
                <w:b/>
                <w:bCs/>
                <w:i/>
                <w:iCs/>
                <w:color w:val="5B9BD5" w:themeColor="accent1"/>
                <w:sz w:val="20"/>
                <w:szCs w:val="20"/>
                <w:lang w:eastAsia="sl-SI"/>
              </w:rPr>
              <w:t>Navedba proizvajalca in tipa proizvoda</w:t>
            </w:r>
          </w:p>
          <w:p w:rsidR="000375C7" w:rsidRPr="00570BBD" w:rsidRDefault="000375C7" w:rsidP="00E24415">
            <w:pPr>
              <w:keepNext/>
              <w:spacing w:after="0" w:line="240" w:lineRule="auto"/>
              <w:rPr>
                <w:rFonts w:ascii="Arial ce" w:eastAsia="Times New Roman" w:hAnsi="Arial ce" w:cs="Times New Roman"/>
                <w:color w:val="5B9BD5" w:themeColor="accent1"/>
                <w:sz w:val="16"/>
                <w:szCs w:val="16"/>
                <w:lang w:eastAsia="sl-SI"/>
              </w:rPr>
            </w:pPr>
          </w:p>
        </w:tc>
      </w:tr>
      <w:tr w:rsidR="000375C7" w:rsidRPr="00570BBD" w:rsidTr="00E24415">
        <w:trPr>
          <w:trHeight w:val="195"/>
        </w:trPr>
        <w:tc>
          <w:tcPr>
            <w:tcW w:w="9796" w:type="dxa"/>
            <w:tcBorders>
              <w:bottom w:val="nil"/>
            </w:tcBorders>
            <w:noWrap/>
            <w:vAlign w:val="bottom"/>
          </w:tcPr>
          <w:p w:rsidR="000375C7" w:rsidRPr="00D709FA" w:rsidRDefault="000375C7" w:rsidP="00E24415">
            <w:pPr>
              <w:rPr>
                <w:rFonts w:ascii="Arial" w:hAnsi="Arial" w:cs="Arial"/>
                <w:sz w:val="18"/>
                <w:szCs w:val="18"/>
              </w:rPr>
            </w:pPr>
            <w:r>
              <w:rPr>
                <w:rFonts w:ascii="Arial" w:hAnsi="Arial" w:cs="Arial"/>
                <w:sz w:val="18"/>
                <w:szCs w:val="18"/>
              </w:rPr>
              <w:br/>
              <w:t>EV zasuni morajo biti izdelani iz nodularne litine, z epoxy zaščito minimalne debeline 250 mikronov. Klin zasuna je zaščiten z EPDM elastomerno gumo. Vreteno zasuna je izdelano iz nerjavečega jekla in ga je možno menjati brez izvleka klina iz ohišja. Tesnenje na vretenu je izvedeno z dvema "O" tesniloma iz NBR. Na obeh straneh klina so pravokotna poliamidna vodila. Spoj telesa in pokrova mora biti izveden brez vijakov in zagozd. Ustrezati morajo standardu EN 1074 in ISO 7259.</w:t>
            </w:r>
          </w:p>
        </w:tc>
      </w:tr>
      <w:tr w:rsidR="000375C7" w:rsidRPr="00570BBD" w:rsidTr="00E24415">
        <w:trPr>
          <w:trHeight w:val="815"/>
        </w:trPr>
        <w:tc>
          <w:tcPr>
            <w:tcW w:w="9796" w:type="dxa"/>
            <w:noWrap/>
            <w:vAlign w:val="bottom"/>
            <w:hideMark/>
          </w:tcPr>
          <w:p w:rsidR="000375C7" w:rsidRPr="00D709FA" w:rsidRDefault="000375C7" w:rsidP="00E24415">
            <w:pPr>
              <w:keepNext/>
              <w:spacing w:after="0" w:line="240" w:lineRule="auto"/>
              <w:rPr>
                <w:rFonts w:ascii="Times New Roman" w:eastAsia="Times New Roman" w:hAnsi="Times New Roman" w:cs="Times New Roman"/>
                <w:b/>
                <w:bCs/>
                <w:i/>
                <w:iCs/>
                <w:color w:val="5B9BD5" w:themeColor="accent1"/>
                <w:sz w:val="20"/>
                <w:szCs w:val="20"/>
                <w:lang w:eastAsia="sl-SI"/>
              </w:rPr>
            </w:pPr>
            <w:r w:rsidRPr="00570BBD">
              <w:rPr>
                <w:rFonts w:ascii="Times New Roman" w:eastAsia="Times New Roman" w:hAnsi="Times New Roman" w:cs="Times New Roman"/>
                <w:b/>
                <w:bCs/>
                <w:i/>
                <w:iCs/>
                <w:color w:val="5B9BD5" w:themeColor="accent1"/>
                <w:sz w:val="20"/>
                <w:szCs w:val="20"/>
                <w:lang w:eastAsia="sl-SI"/>
              </w:rPr>
              <w:t>Navedba proizvajalca in tipa proizvoda</w:t>
            </w:r>
          </w:p>
          <w:p w:rsidR="000375C7" w:rsidRPr="00570BBD" w:rsidRDefault="000375C7" w:rsidP="00E24415">
            <w:pPr>
              <w:keepNext/>
              <w:spacing w:after="0" w:line="240" w:lineRule="auto"/>
              <w:rPr>
                <w:rFonts w:ascii="Arial ce" w:eastAsia="Times New Roman" w:hAnsi="Arial ce" w:cs="Times New Roman"/>
                <w:color w:val="5B9BD5" w:themeColor="accent1"/>
                <w:sz w:val="16"/>
                <w:szCs w:val="16"/>
                <w:lang w:eastAsia="sl-SI"/>
              </w:rPr>
            </w:pPr>
          </w:p>
        </w:tc>
      </w:tr>
      <w:tr w:rsidR="000375C7" w:rsidRPr="00570BBD" w:rsidTr="00E24415">
        <w:trPr>
          <w:trHeight w:val="195"/>
        </w:trPr>
        <w:tc>
          <w:tcPr>
            <w:tcW w:w="9796" w:type="dxa"/>
            <w:tcBorders>
              <w:bottom w:val="nil"/>
            </w:tcBorders>
            <w:noWrap/>
            <w:vAlign w:val="bottom"/>
          </w:tcPr>
          <w:p w:rsidR="000375C7" w:rsidRPr="00570BBD" w:rsidRDefault="000375C7" w:rsidP="00E24415">
            <w:pPr>
              <w:spacing w:after="240"/>
              <w:rPr>
                <w:rFonts w:ascii="Arial ce" w:eastAsia="Times New Roman" w:hAnsi="Arial ce" w:cs="Times New Roman"/>
                <w:sz w:val="16"/>
                <w:szCs w:val="16"/>
                <w:lang w:eastAsia="sl-SI"/>
              </w:rPr>
            </w:pPr>
            <w:r>
              <w:rPr>
                <w:rFonts w:ascii="Arial" w:hAnsi="Arial" w:cs="Arial"/>
                <w:sz w:val="18"/>
                <w:szCs w:val="18"/>
              </w:rPr>
              <w:br/>
              <w:t xml:space="preserve">Loputa (prirobnična)  mora biti iz nodularne litine SG 500-7, z obojestransko epoxy zaščito, minimalno 250 mikronov. </w:t>
            </w:r>
            <w:r>
              <w:rPr>
                <w:rFonts w:ascii="Arial" w:hAnsi="Arial" w:cs="Arial"/>
                <w:sz w:val="18"/>
                <w:szCs w:val="18"/>
              </w:rPr>
              <w:lastRenderedPageBreak/>
              <w:t>Sedež narejen iz nerjavečega jekla je uvaljan v ohišje, vpetja tesnila mora zagotoviti 100% tesnjenje v obeh smereh. Ustrezati mora standardom ISO 1083, ISO 5208.</w:t>
            </w:r>
          </w:p>
        </w:tc>
      </w:tr>
      <w:tr w:rsidR="000375C7" w:rsidRPr="00570BBD" w:rsidTr="00E24415">
        <w:trPr>
          <w:trHeight w:val="934"/>
        </w:trPr>
        <w:tc>
          <w:tcPr>
            <w:tcW w:w="9796" w:type="dxa"/>
            <w:noWrap/>
            <w:vAlign w:val="bottom"/>
            <w:hideMark/>
          </w:tcPr>
          <w:p w:rsidR="000375C7" w:rsidRPr="00570BBD" w:rsidRDefault="000375C7" w:rsidP="00E24415">
            <w:pPr>
              <w:keepNext/>
              <w:spacing w:after="0" w:line="240" w:lineRule="auto"/>
              <w:rPr>
                <w:rFonts w:ascii="Arial ce" w:eastAsia="Times New Roman" w:hAnsi="Arial ce" w:cs="Times New Roman"/>
                <w:color w:val="5B9BD5" w:themeColor="accent1"/>
                <w:sz w:val="16"/>
                <w:szCs w:val="16"/>
                <w:lang w:eastAsia="sl-SI"/>
              </w:rPr>
            </w:pPr>
            <w:r w:rsidRPr="00570BBD">
              <w:rPr>
                <w:rFonts w:ascii="Times New Roman" w:eastAsia="Times New Roman" w:hAnsi="Times New Roman" w:cs="Times New Roman"/>
                <w:b/>
                <w:bCs/>
                <w:i/>
                <w:iCs/>
                <w:color w:val="5B9BD5" w:themeColor="accent1"/>
                <w:sz w:val="20"/>
                <w:szCs w:val="20"/>
                <w:lang w:eastAsia="sl-SI"/>
              </w:rPr>
              <w:lastRenderedPageBreak/>
              <w:t>Navedba proizvajalca in tipa proizvoda</w:t>
            </w:r>
          </w:p>
          <w:p w:rsidR="000375C7" w:rsidRPr="00570BBD" w:rsidRDefault="000375C7" w:rsidP="00E24415">
            <w:pPr>
              <w:keepNext/>
              <w:spacing w:after="0" w:line="240" w:lineRule="auto"/>
              <w:rPr>
                <w:rFonts w:ascii="Arial ce" w:eastAsia="Times New Roman" w:hAnsi="Arial ce" w:cs="Times New Roman"/>
                <w:color w:val="5B9BD5" w:themeColor="accent1"/>
                <w:sz w:val="16"/>
                <w:szCs w:val="16"/>
                <w:lang w:eastAsia="sl-SI"/>
              </w:rPr>
            </w:pPr>
          </w:p>
        </w:tc>
      </w:tr>
      <w:tr w:rsidR="000375C7" w:rsidRPr="00570BBD" w:rsidTr="00E24415">
        <w:trPr>
          <w:trHeight w:val="195"/>
        </w:trPr>
        <w:tc>
          <w:tcPr>
            <w:tcW w:w="9796" w:type="dxa"/>
            <w:tcBorders>
              <w:bottom w:val="nil"/>
            </w:tcBorders>
            <w:noWrap/>
            <w:vAlign w:val="bottom"/>
          </w:tcPr>
          <w:p w:rsidR="000375C7" w:rsidRPr="00570BBD" w:rsidRDefault="000375C7" w:rsidP="00E24415">
            <w:pPr>
              <w:rPr>
                <w:rFonts w:ascii="Arial ce" w:eastAsia="Times New Roman" w:hAnsi="Arial ce" w:cs="Times New Roman"/>
                <w:sz w:val="16"/>
                <w:szCs w:val="16"/>
                <w:lang w:eastAsia="sl-SI"/>
              </w:rPr>
            </w:pPr>
            <w:r>
              <w:rPr>
                <w:rFonts w:ascii="Arial" w:hAnsi="Arial" w:cs="Arial"/>
                <w:sz w:val="18"/>
                <w:szCs w:val="18"/>
              </w:rPr>
              <w:br/>
              <w:t xml:space="preserve">Telo nadzemnega hidranta mora biti INOX, glava iz nodularne litine z dvema "C" priključkoma ter enim "B" priključkom. Hidrant mora biti opremljen z izpustno odprtino po kateri odteče stoječa voda iz hidranta. Izdelani in preizkušeni morajo biti po SIST EN 1074-6. Zaporni element hidranta mora biti gumiran z EPDM W270. </w:t>
            </w:r>
          </w:p>
        </w:tc>
      </w:tr>
      <w:tr w:rsidR="000375C7" w:rsidRPr="00570BBD" w:rsidTr="00E24415">
        <w:trPr>
          <w:trHeight w:val="725"/>
        </w:trPr>
        <w:tc>
          <w:tcPr>
            <w:tcW w:w="9796" w:type="dxa"/>
            <w:noWrap/>
            <w:vAlign w:val="bottom"/>
            <w:hideMark/>
          </w:tcPr>
          <w:p w:rsidR="000375C7" w:rsidRPr="00570BBD" w:rsidRDefault="000375C7" w:rsidP="00E24415">
            <w:pPr>
              <w:keepNext/>
              <w:spacing w:after="0" w:line="240" w:lineRule="auto"/>
              <w:rPr>
                <w:rFonts w:ascii="Arial ce" w:eastAsia="Times New Roman" w:hAnsi="Arial ce" w:cs="Times New Roman"/>
                <w:color w:val="5B9BD5" w:themeColor="accent1"/>
                <w:sz w:val="16"/>
                <w:szCs w:val="16"/>
                <w:lang w:eastAsia="sl-SI"/>
              </w:rPr>
            </w:pPr>
            <w:r w:rsidRPr="00570BBD">
              <w:rPr>
                <w:rFonts w:ascii="Times New Roman" w:eastAsia="Times New Roman" w:hAnsi="Times New Roman" w:cs="Times New Roman"/>
                <w:b/>
                <w:bCs/>
                <w:i/>
                <w:iCs/>
                <w:color w:val="5B9BD5" w:themeColor="accent1"/>
                <w:sz w:val="20"/>
                <w:szCs w:val="20"/>
                <w:lang w:eastAsia="sl-SI"/>
              </w:rPr>
              <w:t>Navedba proizvajalca in tipa proizvoda</w:t>
            </w:r>
          </w:p>
          <w:p w:rsidR="000375C7" w:rsidRPr="00570BBD" w:rsidRDefault="000375C7" w:rsidP="00E24415">
            <w:pPr>
              <w:keepNext/>
              <w:spacing w:after="0" w:line="240" w:lineRule="auto"/>
              <w:rPr>
                <w:rFonts w:ascii="Arial ce" w:eastAsia="Times New Roman" w:hAnsi="Arial ce" w:cs="Times New Roman"/>
                <w:color w:val="5B9BD5" w:themeColor="accent1"/>
                <w:sz w:val="16"/>
                <w:szCs w:val="16"/>
                <w:lang w:eastAsia="sl-SI"/>
              </w:rPr>
            </w:pPr>
          </w:p>
        </w:tc>
      </w:tr>
      <w:tr w:rsidR="000375C7" w:rsidRPr="00570BBD" w:rsidTr="00E24415">
        <w:trPr>
          <w:trHeight w:val="195"/>
        </w:trPr>
        <w:tc>
          <w:tcPr>
            <w:tcW w:w="9796" w:type="dxa"/>
            <w:tcBorders>
              <w:bottom w:val="nil"/>
            </w:tcBorders>
            <w:noWrap/>
            <w:vAlign w:val="bottom"/>
          </w:tcPr>
          <w:p w:rsidR="000375C7" w:rsidRPr="00570BBD" w:rsidRDefault="000375C7" w:rsidP="00E24415">
            <w:pPr>
              <w:keepNext/>
              <w:spacing w:after="0" w:line="240" w:lineRule="auto"/>
              <w:rPr>
                <w:rFonts w:ascii="Arial ce" w:eastAsia="Times New Roman" w:hAnsi="Arial ce" w:cs="Times New Roman"/>
                <w:sz w:val="16"/>
                <w:szCs w:val="16"/>
                <w:lang w:eastAsia="sl-SI"/>
              </w:rPr>
            </w:pPr>
          </w:p>
        </w:tc>
      </w:tr>
      <w:tr w:rsidR="000375C7" w:rsidRPr="00570BBD" w:rsidTr="00E24415">
        <w:trPr>
          <w:trHeight w:val="195"/>
        </w:trPr>
        <w:tc>
          <w:tcPr>
            <w:tcW w:w="9796" w:type="dxa"/>
            <w:tcBorders>
              <w:top w:val="nil"/>
              <w:bottom w:val="nil"/>
            </w:tcBorders>
            <w:noWrap/>
            <w:vAlign w:val="bottom"/>
          </w:tcPr>
          <w:p w:rsidR="000375C7" w:rsidRPr="00570BBD" w:rsidRDefault="000375C7" w:rsidP="00E24415">
            <w:pPr>
              <w:rPr>
                <w:rFonts w:ascii="Arial ce" w:eastAsia="Times New Roman" w:hAnsi="Arial ce" w:cs="Times New Roman"/>
                <w:sz w:val="16"/>
                <w:szCs w:val="16"/>
                <w:lang w:eastAsia="sl-SI"/>
              </w:rPr>
            </w:pPr>
            <w:r>
              <w:rPr>
                <w:rFonts w:ascii="Arial" w:hAnsi="Arial" w:cs="Arial"/>
                <w:sz w:val="18"/>
                <w:szCs w:val="18"/>
              </w:rPr>
              <w:t>Ohišje dvojnega kombiniranega avtomatskega zračnika mora biti iz nodularne litine z obojestransko epoxy zaščito min 250 mikronov. Mreža za zaščito pred nesnago in pokrov sta iz INOX jekla. V ohišje je vgrajen dodatni odzračni ventil za kontrolo delovanja. Delovno območje je od 1 do 16 bar. Ustrezati mora zahtevam standarda SIST EN 1074-4.</w:t>
            </w:r>
          </w:p>
        </w:tc>
      </w:tr>
      <w:tr w:rsidR="000375C7" w:rsidRPr="00570BBD" w:rsidTr="00E24415">
        <w:trPr>
          <w:trHeight w:val="950"/>
        </w:trPr>
        <w:tc>
          <w:tcPr>
            <w:tcW w:w="9796" w:type="dxa"/>
            <w:noWrap/>
            <w:vAlign w:val="bottom"/>
            <w:hideMark/>
          </w:tcPr>
          <w:p w:rsidR="000375C7" w:rsidRDefault="000375C7" w:rsidP="00E24415">
            <w:pPr>
              <w:keepNext/>
              <w:spacing w:after="0" w:line="240" w:lineRule="auto"/>
              <w:rPr>
                <w:rFonts w:ascii="Times New Roman" w:eastAsia="Times New Roman" w:hAnsi="Times New Roman" w:cs="Times New Roman"/>
                <w:b/>
                <w:bCs/>
                <w:i/>
                <w:iCs/>
                <w:color w:val="5B9BD5" w:themeColor="accent1"/>
                <w:sz w:val="20"/>
                <w:szCs w:val="20"/>
                <w:lang w:eastAsia="sl-SI"/>
              </w:rPr>
            </w:pPr>
          </w:p>
          <w:p w:rsidR="000375C7" w:rsidRPr="00570BBD" w:rsidRDefault="000375C7" w:rsidP="00E24415">
            <w:pPr>
              <w:keepNext/>
              <w:spacing w:after="0" w:line="240" w:lineRule="auto"/>
              <w:rPr>
                <w:rFonts w:ascii="Arial ce" w:eastAsia="Times New Roman" w:hAnsi="Arial ce" w:cs="Times New Roman"/>
                <w:color w:val="5B9BD5" w:themeColor="accent1"/>
                <w:sz w:val="16"/>
                <w:szCs w:val="16"/>
                <w:lang w:eastAsia="sl-SI"/>
              </w:rPr>
            </w:pPr>
            <w:r w:rsidRPr="00570BBD">
              <w:rPr>
                <w:rFonts w:ascii="Times New Roman" w:eastAsia="Times New Roman" w:hAnsi="Times New Roman" w:cs="Times New Roman"/>
                <w:b/>
                <w:bCs/>
                <w:i/>
                <w:iCs/>
                <w:color w:val="5B9BD5" w:themeColor="accent1"/>
                <w:sz w:val="20"/>
                <w:szCs w:val="20"/>
                <w:lang w:eastAsia="sl-SI"/>
              </w:rPr>
              <w:t>Navedba proizvajalca in tipa proizvoda</w:t>
            </w:r>
          </w:p>
          <w:p w:rsidR="000375C7" w:rsidRPr="00570BBD" w:rsidRDefault="000375C7" w:rsidP="00E24415">
            <w:pPr>
              <w:keepNext/>
              <w:spacing w:after="0" w:line="240" w:lineRule="auto"/>
              <w:rPr>
                <w:rFonts w:ascii="Arial ce" w:eastAsia="Times New Roman" w:hAnsi="Arial ce" w:cs="Times New Roman"/>
                <w:color w:val="5B9BD5" w:themeColor="accent1"/>
                <w:sz w:val="16"/>
                <w:szCs w:val="16"/>
                <w:lang w:eastAsia="sl-SI"/>
              </w:rPr>
            </w:pPr>
          </w:p>
        </w:tc>
      </w:tr>
      <w:tr w:rsidR="000375C7" w:rsidRPr="00570BBD" w:rsidTr="00E24415">
        <w:trPr>
          <w:trHeight w:val="195"/>
        </w:trPr>
        <w:tc>
          <w:tcPr>
            <w:tcW w:w="9796" w:type="dxa"/>
            <w:tcBorders>
              <w:bottom w:val="nil"/>
            </w:tcBorders>
            <w:noWrap/>
            <w:vAlign w:val="bottom"/>
          </w:tcPr>
          <w:p w:rsidR="000375C7" w:rsidRDefault="000375C7" w:rsidP="00E24415">
            <w:pPr>
              <w:rPr>
                <w:rFonts w:ascii="Arial" w:hAnsi="Arial" w:cs="Arial"/>
                <w:sz w:val="18"/>
                <w:szCs w:val="18"/>
              </w:rPr>
            </w:pPr>
            <w:r>
              <w:rPr>
                <w:rFonts w:ascii="Arial" w:hAnsi="Arial" w:cs="Arial"/>
                <w:sz w:val="18"/>
                <w:szCs w:val="18"/>
              </w:rPr>
              <w:br/>
              <w:t>Cestne kape</w:t>
            </w:r>
            <w:r>
              <w:rPr>
                <w:rFonts w:ascii="Arial" w:hAnsi="Arial" w:cs="Arial"/>
                <w:sz w:val="18"/>
                <w:szCs w:val="18"/>
              </w:rPr>
              <w:br/>
              <w:t>Teleskopska cestna kapa razreda nosilnosti D400, po standardu EN 124 s protihrupnim PUR vložkom na pokrovu, tečajem ter možnostjo vgradnje pod naklonom. Na pokrovu mora biti napis VODA, HIDRANT v slovenskem jeziku. Cestna kapa za zračnik mora biti okrogle oblike imeti napis ZRAČNIK v slovenskem jeziku, poliuretanski protihrupni vložek, ter dva vijaka s katerimi je pričvrščen pokrov na ohišje kape.</w:t>
            </w:r>
          </w:p>
          <w:p w:rsidR="000375C7" w:rsidRPr="00570BBD" w:rsidRDefault="000375C7" w:rsidP="00E24415">
            <w:pPr>
              <w:keepNext/>
              <w:spacing w:after="0" w:line="240" w:lineRule="auto"/>
              <w:rPr>
                <w:rFonts w:ascii="Arial ce" w:eastAsia="Times New Roman" w:hAnsi="Arial ce" w:cs="Times New Roman"/>
                <w:sz w:val="16"/>
                <w:szCs w:val="16"/>
                <w:lang w:eastAsia="sl-SI"/>
              </w:rPr>
            </w:pPr>
          </w:p>
        </w:tc>
      </w:tr>
      <w:tr w:rsidR="000375C7" w:rsidRPr="00570BBD" w:rsidTr="00E24415">
        <w:trPr>
          <w:trHeight w:val="988"/>
        </w:trPr>
        <w:tc>
          <w:tcPr>
            <w:tcW w:w="9796" w:type="dxa"/>
            <w:noWrap/>
            <w:vAlign w:val="bottom"/>
          </w:tcPr>
          <w:p w:rsidR="000375C7" w:rsidRPr="00570BBD" w:rsidRDefault="000375C7" w:rsidP="00E24415">
            <w:pPr>
              <w:keepNext/>
              <w:spacing w:after="0" w:line="240" w:lineRule="auto"/>
              <w:rPr>
                <w:rFonts w:ascii="Arial ce" w:eastAsia="Times New Roman" w:hAnsi="Arial ce" w:cs="Times New Roman"/>
                <w:sz w:val="16"/>
                <w:szCs w:val="16"/>
                <w:lang w:eastAsia="sl-SI"/>
              </w:rPr>
            </w:pPr>
          </w:p>
          <w:p w:rsidR="000375C7" w:rsidRPr="00570BBD" w:rsidRDefault="000375C7" w:rsidP="00E24415">
            <w:pPr>
              <w:keepNext/>
              <w:spacing w:after="0" w:line="240" w:lineRule="auto"/>
              <w:rPr>
                <w:rFonts w:ascii="Arial ce" w:eastAsia="Times New Roman" w:hAnsi="Arial ce" w:cs="Times New Roman"/>
                <w:sz w:val="16"/>
                <w:szCs w:val="16"/>
                <w:lang w:eastAsia="sl-SI"/>
              </w:rPr>
            </w:pPr>
          </w:p>
          <w:p w:rsidR="000375C7" w:rsidRPr="00570BBD" w:rsidRDefault="000375C7" w:rsidP="00E24415">
            <w:pPr>
              <w:keepNext/>
              <w:spacing w:after="0" w:line="240" w:lineRule="auto"/>
              <w:rPr>
                <w:rFonts w:ascii="Arial ce" w:eastAsia="Times New Roman" w:hAnsi="Arial ce" w:cs="Times New Roman"/>
                <w:sz w:val="16"/>
                <w:szCs w:val="16"/>
                <w:lang w:eastAsia="sl-SI"/>
              </w:rPr>
            </w:pPr>
          </w:p>
          <w:p w:rsidR="000375C7" w:rsidRPr="00570BBD" w:rsidRDefault="000375C7" w:rsidP="00E24415">
            <w:pPr>
              <w:keepNext/>
              <w:spacing w:after="0" w:line="240" w:lineRule="auto"/>
              <w:rPr>
                <w:rFonts w:ascii="Arial ce" w:eastAsia="Times New Roman" w:hAnsi="Arial ce" w:cs="Times New Roman"/>
                <w:sz w:val="16"/>
                <w:szCs w:val="16"/>
                <w:lang w:eastAsia="sl-SI"/>
              </w:rPr>
            </w:pPr>
          </w:p>
          <w:p w:rsidR="000375C7" w:rsidRPr="00570BBD" w:rsidRDefault="000375C7" w:rsidP="00E24415">
            <w:pPr>
              <w:keepNext/>
              <w:spacing w:after="0" w:line="240" w:lineRule="auto"/>
              <w:rPr>
                <w:rFonts w:ascii="Arial ce" w:eastAsia="Times New Roman" w:hAnsi="Arial ce" w:cs="Times New Roman"/>
                <w:sz w:val="16"/>
                <w:szCs w:val="16"/>
                <w:lang w:eastAsia="sl-SI"/>
              </w:rPr>
            </w:pPr>
          </w:p>
          <w:p w:rsidR="000375C7" w:rsidRPr="00570BBD" w:rsidRDefault="000375C7" w:rsidP="00E24415">
            <w:pPr>
              <w:keepNext/>
              <w:spacing w:after="0" w:line="240" w:lineRule="auto"/>
              <w:rPr>
                <w:rFonts w:ascii="Arial ce" w:eastAsia="Times New Roman" w:hAnsi="Arial ce" w:cs="Times New Roman"/>
                <w:sz w:val="16"/>
                <w:szCs w:val="16"/>
                <w:lang w:eastAsia="sl-SI"/>
              </w:rPr>
            </w:pPr>
            <w:r w:rsidRPr="00570BBD">
              <w:rPr>
                <w:rFonts w:ascii="Times New Roman" w:eastAsia="Times New Roman" w:hAnsi="Times New Roman" w:cs="Times New Roman"/>
                <w:b/>
                <w:bCs/>
                <w:i/>
                <w:iCs/>
                <w:color w:val="5B9BD5" w:themeColor="accent1"/>
                <w:sz w:val="20"/>
                <w:szCs w:val="20"/>
                <w:lang w:eastAsia="sl-SI"/>
              </w:rPr>
              <w:t>Navedba proizvajalca in tipa proizvoda</w:t>
            </w:r>
          </w:p>
          <w:p w:rsidR="000375C7" w:rsidRPr="00570BBD" w:rsidRDefault="000375C7" w:rsidP="00E24415">
            <w:pPr>
              <w:keepNext/>
              <w:spacing w:after="0" w:line="240" w:lineRule="auto"/>
              <w:rPr>
                <w:rFonts w:ascii="Arial ce" w:eastAsia="Times New Roman" w:hAnsi="Arial ce" w:cs="Times New Roman"/>
                <w:sz w:val="16"/>
                <w:szCs w:val="16"/>
                <w:lang w:eastAsia="sl-SI"/>
              </w:rPr>
            </w:pPr>
          </w:p>
        </w:tc>
      </w:tr>
    </w:tbl>
    <w:p w:rsidR="000375C7" w:rsidRPr="00570BBD" w:rsidRDefault="000375C7" w:rsidP="000375C7">
      <w:pPr>
        <w:keepNext/>
        <w:spacing w:after="0" w:line="240" w:lineRule="auto"/>
        <w:rPr>
          <w:rFonts w:ascii="Tahoma" w:eastAsia="Times New Roman" w:hAnsi="Tahoma" w:cs="Tahoma"/>
          <w:sz w:val="20"/>
          <w:szCs w:val="20"/>
          <w:lang w:eastAsia="sl-SI"/>
        </w:rPr>
      </w:pPr>
    </w:p>
    <w:p w:rsidR="000375C7" w:rsidRPr="00570BBD" w:rsidRDefault="000375C7" w:rsidP="000375C7">
      <w:pPr>
        <w:keepNext/>
        <w:spacing w:after="0" w:line="240" w:lineRule="auto"/>
        <w:rPr>
          <w:rFonts w:ascii="Tahoma" w:eastAsia="Times New Roman" w:hAnsi="Tahoma" w:cs="Tahoma"/>
          <w:sz w:val="20"/>
          <w:szCs w:val="20"/>
          <w:lang w:eastAsia="sl-SI"/>
        </w:rPr>
      </w:pPr>
    </w:p>
    <w:p w:rsidR="000375C7" w:rsidRDefault="000375C7" w:rsidP="000375C7"/>
    <w:p w:rsidR="00204E62" w:rsidRDefault="00204E62">
      <w:bookmarkStart w:id="0" w:name="_GoBack"/>
      <w:bookmarkEnd w:id="0"/>
    </w:p>
    <w:sectPr w:rsidR="00204E62" w:rsidSect="00043940">
      <w:headerReference w:type="default" r:id="rId4"/>
      <w:footerReference w:type="default" r:id="rId5"/>
      <w:headerReference w:type="first" r:id="rId6"/>
      <w:footerReference w:type="first" r:id="rId7"/>
      <w:pgSz w:w="11906" w:h="16838" w:code="9"/>
      <w:pgMar w:top="709" w:right="1134" w:bottom="1134" w:left="1276" w:header="567" w:footer="567"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6E2" w:rsidRDefault="000375C7" w:rsidP="00E67166">
    <w:pPr>
      <w:pStyle w:val="Noga"/>
      <w:ind w:right="-1276"/>
      <w:jc w:val="right"/>
    </w:pPr>
    <w:r w:rsidRPr="00145FEE">
      <w:rPr>
        <w:noProof/>
      </w:rPr>
      <w:drawing>
        <wp:inline distT="0" distB="0" distL="0" distR="0" wp14:anchorId="2D4F4E78" wp14:editId="568210C2">
          <wp:extent cx="3793490" cy="32385"/>
          <wp:effectExtent l="0" t="0" r="0" b="5715"/>
          <wp:docPr id="2" name="Slika 2"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3490" cy="32385"/>
                  </a:xfrm>
                  <a:prstGeom prst="rect">
                    <a:avLst/>
                  </a:prstGeom>
                  <a:noFill/>
                  <a:ln>
                    <a:noFill/>
                  </a:ln>
                </pic:spPr>
              </pic:pic>
            </a:graphicData>
          </a:graphic>
        </wp:inline>
      </w:drawing>
    </w:r>
  </w:p>
  <w:p w:rsidR="009716E2" w:rsidRPr="005D40C9" w:rsidRDefault="000375C7" w:rsidP="00E67166">
    <w:pPr>
      <w:pStyle w:val="Noga"/>
      <w:tabs>
        <w:tab w:val="clear" w:pos="4536"/>
        <w:tab w:val="clear" w:pos="9072"/>
      </w:tabs>
      <w:ind w:right="-2"/>
      <w:jc w:val="right"/>
      <w:rPr>
        <w:sz w:val="16"/>
        <w:szCs w:val="16"/>
      </w:rPr>
    </w:pPr>
  </w:p>
  <w:p w:rsidR="009716E2" w:rsidRPr="00E67166" w:rsidRDefault="000375C7"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2</w:t>
    </w:r>
    <w:r w:rsidRPr="00394716">
      <w:rPr>
        <w:sz w:val="16"/>
        <w:szCs w:val="16"/>
      </w:rPr>
      <w:fldChar w:fldCharType="end"/>
    </w:r>
  </w:p>
  <w:p w:rsidR="009716E2" w:rsidRDefault="000375C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6E2" w:rsidRDefault="000375C7" w:rsidP="002E6DA4">
    <w:pPr>
      <w:pStyle w:val="Noga"/>
      <w:jc w:val="right"/>
      <w:rPr>
        <w:rFonts w:ascii="Tahoma" w:hAnsi="Tahoma" w:cs="Tahoma"/>
        <w:snapToGrid w:val="0"/>
        <w:sz w:val="18"/>
        <w:szCs w:val="18"/>
      </w:rPr>
    </w:pPr>
  </w:p>
  <w:p w:rsidR="009716E2" w:rsidRDefault="000375C7">
    <w:r>
      <w:rPr>
        <w:rFonts w:ascii="Tahoma" w:hAnsi="Tahoma" w:cs="Tahoma"/>
        <w:snapToGrid w:val="0"/>
        <w:sz w:val="16"/>
        <w:szCs w:val="16"/>
      </w:rPr>
      <w:tab/>
      <w:t>LPT-1</w:t>
    </w:r>
    <w:r w:rsidRPr="00782F3F">
      <w:rPr>
        <w:rFonts w:ascii="Tahoma" w:hAnsi="Tahoma" w:cs="Tahoma"/>
      </w:rPr>
      <w:t xml:space="preserve">poslovni prostor za dejavnost priprave in razdeljevanje hrane ter strežbe pijač v poslovno servisnem objektu javnega podjetja vodovod - </w:t>
    </w:r>
    <w:r w:rsidRPr="00782F3F">
      <w:rPr>
        <w:rFonts w:ascii="Tahoma" w:hAnsi="Tahoma" w:cs="Tahoma"/>
      </w:rPr>
      <w:t>kanalizacija d.o.o.,</w:t>
    </w:r>
    <w:r>
      <w:rPr>
        <w:rFonts w:ascii="Tahoma" w:hAnsi="Tahoma" w:cs="Tahoma"/>
      </w:rPr>
      <w:t xml:space="preserve"> Vodovodna cesta 90 v Ljubljani</w:t>
    </w:r>
  </w:p>
  <w:p w:rsidR="009716E2" w:rsidRPr="00407848" w:rsidRDefault="000375C7"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3</w:t>
    </w:r>
    <w:r w:rsidRPr="00407848">
      <w:rPr>
        <w:rStyle w:val="tevilkastrani"/>
        <w:rFonts w:ascii="Tahoma" w:hAnsi="Tahoma" w:cs="Tahoma"/>
        <w:sz w:val="16"/>
        <w:szCs w:val="16"/>
      </w:rPr>
      <w:fldChar w:fldCharType="end"/>
    </w:r>
  </w:p>
  <w:p w:rsidR="009716E2" w:rsidRPr="00407848" w:rsidRDefault="000375C7" w:rsidP="002E6DA4">
    <w:pPr>
      <w:pStyle w:val="Noga"/>
      <w:jc w:val="center"/>
      <w:rPr>
        <w:rStyle w:val="tevilkastrani"/>
        <w:rFonts w:ascii="Tahoma" w:hAnsi="Tahoma" w:cs="Tahoma"/>
        <w:sz w:val="16"/>
        <w:szCs w:val="16"/>
      </w:rPr>
    </w:pPr>
  </w:p>
  <w:p w:rsidR="009716E2" w:rsidRPr="00407848" w:rsidRDefault="000375C7" w:rsidP="002E6DA4">
    <w:pPr>
      <w:jc w:val="center"/>
      <w:rPr>
        <w:rFonts w:ascii="Tahoma" w:hAnsi="Tahoma" w:cs="Tahoma"/>
        <w:snapToGrid w:val="0"/>
        <w:sz w:val="16"/>
        <w:szCs w:val="16"/>
      </w:rPr>
    </w:pPr>
  </w:p>
  <w:p w:rsidR="009716E2" w:rsidRPr="00102BE1" w:rsidRDefault="000375C7">
    <w:pPr>
      <w:pStyle w:val="Noga"/>
      <w:rPr>
        <w:sz w:val="18"/>
        <w:szCs w:val="18"/>
      </w:rPr>
    </w:pPr>
  </w:p>
  <w:p w:rsidR="009716E2" w:rsidRDefault="000375C7"/>
  <w:p w:rsidR="009716E2" w:rsidRDefault="000375C7"/>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6E2" w:rsidRDefault="000375C7" w:rsidP="00A43EED">
    <w:pPr>
      <w:spacing w:after="120"/>
      <w:jc w:val="center"/>
    </w:pPr>
    <w:r w:rsidRPr="00145FEE">
      <w:rPr>
        <w:noProof/>
        <w:lang w:eastAsia="sl-SI"/>
      </w:rPr>
      <w:drawing>
        <wp:inline distT="0" distB="0" distL="0" distR="0" wp14:anchorId="7336109C" wp14:editId="7C283391">
          <wp:extent cx="821690" cy="615315"/>
          <wp:effectExtent l="0" t="0" r="0" b="0"/>
          <wp:docPr id="3" name="Slika 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615315"/>
                  </a:xfrm>
                  <a:prstGeom prst="rect">
                    <a:avLst/>
                  </a:prstGeom>
                  <a:noFill/>
                  <a:ln>
                    <a:noFill/>
                  </a:ln>
                </pic:spPr>
              </pic:pic>
            </a:graphicData>
          </a:graphic>
        </wp:inline>
      </w:drawing>
    </w:r>
  </w:p>
  <w:p w:rsidR="009716E2" w:rsidRDefault="000375C7"/>
  <w:p w:rsidR="009716E2" w:rsidRDefault="000375C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6E2" w:rsidRDefault="000375C7" w:rsidP="00CD1524">
    <w:pPr>
      <w:pStyle w:val="Glava"/>
      <w:spacing w:after="120"/>
      <w:jc w:val="center"/>
    </w:pPr>
    <w:r w:rsidRPr="00145FEE">
      <w:rPr>
        <w:noProof/>
      </w:rPr>
      <w:drawing>
        <wp:inline distT="0" distB="0" distL="0" distR="0" wp14:anchorId="56C9C109" wp14:editId="14FF58F4">
          <wp:extent cx="821690" cy="615315"/>
          <wp:effectExtent l="0" t="0" r="0" b="0"/>
          <wp:docPr id="1" name="Slika 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615315"/>
                  </a:xfrm>
                  <a:prstGeom prst="rect">
                    <a:avLst/>
                  </a:prstGeom>
                  <a:noFill/>
                  <a:ln>
                    <a:noFill/>
                  </a:ln>
                </pic:spPr>
              </pic:pic>
            </a:graphicData>
          </a:graphic>
        </wp:inline>
      </w:drawing>
    </w:r>
  </w:p>
  <w:p w:rsidR="009716E2" w:rsidRPr="00001A3E" w:rsidRDefault="000375C7" w:rsidP="00CD1524">
    <w:pPr>
      <w:pStyle w:val="Glava"/>
      <w:spacing w:after="120"/>
      <w:jc w:val="center"/>
      <w:rPr>
        <w:sz w:val="20"/>
      </w:rPr>
    </w:pPr>
  </w:p>
  <w:p w:rsidR="009716E2" w:rsidRDefault="000375C7"/>
  <w:p w:rsidR="009716E2" w:rsidRDefault="000375C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C7"/>
    <w:rsid w:val="000375C7"/>
    <w:rsid w:val="00204E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A618A-8102-4369-825F-72046229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375C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Znak,Glava - napis"/>
    <w:basedOn w:val="Navaden"/>
    <w:link w:val="GlavaZnak"/>
    <w:uiPriority w:val="99"/>
    <w:rsid w:val="000375C7"/>
    <w:pPr>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GlavaZnak">
    <w:name w:val="Glava Znak"/>
    <w:aliases w:val="E-PVO-glava Znak,body txt Znak,Znak Znak,Glava - napis Znak"/>
    <w:basedOn w:val="Privzetapisavaodstavka"/>
    <w:link w:val="Glava"/>
    <w:uiPriority w:val="99"/>
    <w:rsid w:val="000375C7"/>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0375C7"/>
    <w:pPr>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NogaZnak">
    <w:name w:val="Noga Znak"/>
    <w:basedOn w:val="Privzetapisavaodstavka"/>
    <w:link w:val="Noga"/>
    <w:uiPriority w:val="99"/>
    <w:rsid w:val="000375C7"/>
    <w:rPr>
      <w:rFonts w:ascii="Times New Roman" w:eastAsia="Times New Roman" w:hAnsi="Times New Roman" w:cs="Times New Roman"/>
      <w:sz w:val="24"/>
      <w:szCs w:val="20"/>
      <w:lang w:eastAsia="sl-SI"/>
    </w:rPr>
  </w:style>
  <w:style w:type="character" w:styleId="tevilkastrani">
    <w:name w:val="page number"/>
    <w:basedOn w:val="Privzetapisavaodstavka"/>
    <w:uiPriority w:val="99"/>
    <w:rsid w:val="000375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3860</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Dežman</dc:creator>
  <cp:keywords/>
  <dc:description/>
  <cp:lastModifiedBy>Dominik Dežman</cp:lastModifiedBy>
  <cp:revision>1</cp:revision>
  <dcterms:created xsi:type="dcterms:W3CDTF">2019-12-20T08:16:00Z</dcterms:created>
  <dcterms:modified xsi:type="dcterms:W3CDTF">2019-12-20T08:16:00Z</dcterms:modified>
</cp:coreProperties>
</file>