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Default="00292109" w:rsidP="008209B6">
      <w:pPr>
        <w:keepNext/>
        <w:rPr>
          <w:rFonts w:ascii="Tahoma" w:hAnsi="Tahoma" w:cs="Tahoma"/>
          <w:sz w:val="20"/>
          <w:lang w:val="en-US"/>
        </w:rPr>
      </w:pPr>
    </w:p>
    <w:p w:rsidR="00B8409C" w:rsidRPr="009F4FFF" w:rsidRDefault="00B8409C" w:rsidP="008209B6">
      <w:pPr>
        <w:keepNext/>
        <w:rPr>
          <w:rFonts w:ascii="Tahoma" w:hAnsi="Tahoma" w:cs="Tahoma"/>
          <w:sz w:val="20"/>
          <w:lang w:val="en-US"/>
        </w:rPr>
      </w:pPr>
      <w:r w:rsidRPr="009F4FFF">
        <w:rPr>
          <w:rFonts w:ascii="Tahoma" w:hAnsi="Tahoma" w:cs="Tahoma"/>
          <w:sz w:val="20"/>
          <w:lang w:val="en-US"/>
        </w:rPr>
        <w:t xml:space="preserve">Datum: </w:t>
      </w:r>
      <w:r w:rsidR="00110BC7">
        <w:rPr>
          <w:rFonts w:ascii="Tahoma" w:hAnsi="Tahoma" w:cs="Tahoma"/>
          <w:sz w:val="20"/>
          <w:lang w:val="en-US"/>
        </w:rPr>
        <w:t>22</w:t>
      </w:r>
      <w:r w:rsidR="00D57FE9">
        <w:rPr>
          <w:rFonts w:ascii="Tahoma" w:hAnsi="Tahoma" w:cs="Tahoma"/>
          <w:sz w:val="20"/>
          <w:lang w:val="en-US"/>
        </w:rPr>
        <w:t>.</w:t>
      </w:r>
      <w:r w:rsidR="00142135">
        <w:rPr>
          <w:rFonts w:ascii="Tahoma" w:hAnsi="Tahoma" w:cs="Tahoma"/>
          <w:sz w:val="20"/>
          <w:lang w:val="en-US"/>
        </w:rPr>
        <w:t>7</w:t>
      </w:r>
      <w:r w:rsidR="00D57FE9">
        <w:rPr>
          <w:rFonts w:ascii="Tahoma" w:hAnsi="Tahoma" w:cs="Tahoma"/>
          <w:sz w:val="20"/>
          <w:lang w:val="en-US"/>
        </w:rPr>
        <w:t>.201</w:t>
      </w:r>
      <w:r w:rsidR="00142135">
        <w:rPr>
          <w:rFonts w:ascii="Tahoma" w:hAnsi="Tahoma" w:cs="Tahoma"/>
          <w:sz w:val="20"/>
          <w:lang w:val="en-US"/>
        </w:rPr>
        <w:t>9</w:t>
      </w:r>
    </w:p>
    <w:p w:rsidR="00B8409C" w:rsidRPr="009F4FFF" w:rsidRDefault="00B8409C" w:rsidP="008209B6">
      <w:pPr>
        <w:keepNext/>
        <w:rPr>
          <w:rFonts w:ascii="Tahoma" w:hAnsi="Tahoma" w:cs="Tahoma"/>
          <w:sz w:val="20"/>
          <w:lang w:val="en-US"/>
        </w:rPr>
      </w:pPr>
    </w:p>
    <w:p w:rsidR="00B8409C" w:rsidRPr="009F4FFF" w:rsidRDefault="00B8409C" w:rsidP="008209B6">
      <w:pPr>
        <w:keepNext/>
        <w:rPr>
          <w:rFonts w:ascii="Tahoma" w:hAnsi="Tahoma" w:cs="Tahoma"/>
          <w:sz w:val="20"/>
        </w:rPr>
      </w:pPr>
      <w:r w:rsidRPr="009F4FFF">
        <w:rPr>
          <w:rFonts w:ascii="Tahoma" w:hAnsi="Tahoma" w:cs="Tahoma"/>
          <w:sz w:val="20"/>
        </w:rPr>
        <w:t>Spoštovani,</w:t>
      </w:r>
    </w:p>
    <w:p w:rsidR="00B8409C" w:rsidRPr="002F571C" w:rsidRDefault="00B8409C" w:rsidP="008209B6">
      <w:pPr>
        <w:keepNext/>
        <w:rPr>
          <w:rFonts w:ascii="Tahoma" w:hAnsi="Tahoma" w:cs="Tahoma"/>
          <w:sz w:val="20"/>
        </w:rPr>
      </w:pPr>
    </w:p>
    <w:p w:rsidR="009D2BDE" w:rsidRDefault="00B366C6" w:rsidP="008209B6">
      <w:pPr>
        <w:keepNext/>
        <w:tabs>
          <w:tab w:val="left" w:pos="8505"/>
        </w:tabs>
        <w:jc w:val="both"/>
        <w:rPr>
          <w:rFonts w:ascii="Tahoma" w:hAnsi="Tahoma" w:cs="Tahoma"/>
          <w:bCs/>
          <w:sz w:val="20"/>
        </w:rPr>
      </w:pPr>
      <w:r w:rsidRPr="002F571C">
        <w:rPr>
          <w:rFonts w:ascii="Tahoma" w:hAnsi="Tahoma" w:cs="Tahoma"/>
          <w:bCs/>
          <w:sz w:val="20"/>
        </w:rPr>
        <w:t>p</w:t>
      </w:r>
      <w:r w:rsidR="009F166F" w:rsidRPr="002F571C">
        <w:rPr>
          <w:rFonts w:ascii="Tahoma" w:hAnsi="Tahoma" w:cs="Tahoma"/>
          <w:bCs/>
          <w:sz w:val="20"/>
        </w:rPr>
        <w:t>osredujemo vam odgovor</w:t>
      </w:r>
      <w:r w:rsidR="009D2BDE" w:rsidRPr="002F571C">
        <w:rPr>
          <w:rFonts w:ascii="Tahoma" w:hAnsi="Tahoma" w:cs="Tahoma"/>
          <w:bCs/>
          <w:sz w:val="20"/>
        </w:rPr>
        <w:t xml:space="preserve"> na vprašanje gospodarskega subjekta</w:t>
      </w:r>
      <w:r w:rsidR="009F166F" w:rsidRPr="002F571C">
        <w:rPr>
          <w:rFonts w:ascii="Tahoma" w:hAnsi="Tahoma" w:cs="Tahoma"/>
          <w:bCs/>
          <w:sz w:val="20"/>
        </w:rPr>
        <w:t xml:space="preserve"> za javno naročilo </w:t>
      </w:r>
      <w:r w:rsidR="00CE79E6">
        <w:rPr>
          <w:rFonts w:ascii="Tahoma" w:hAnsi="Tahoma" w:cs="Tahoma"/>
          <w:bCs/>
          <w:sz w:val="20"/>
        </w:rPr>
        <w:t>»</w:t>
      </w:r>
      <w:r w:rsidR="00142135" w:rsidRPr="00142135">
        <w:rPr>
          <w:rFonts w:ascii="Tahoma" w:hAnsi="Tahoma" w:cs="Tahoma"/>
          <w:bCs/>
          <w:sz w:val="20"/>
        </w:rPr>
        <w:t>ODVAJANJE IN ČIŠČENJE ODPADNE VODE NA OBMOČJU VODONOSNIKA LJUBLJANSKEGA POLJA – DEL 3: DOGRADITEV JAVNE KANALIZACIJE V AGLOMERACIJAH NAD 2000 PE V MOL: OBMOČJA ŠT. 3, 9, 13 1. DEL, 14 1. DEL, 18, 20, 21, 23, 24, 25, 26 1. DEL, 31, 37 in 38</w:t>
      </w:r>
      <w:r w:rsidR="00CE79E6">
        <w:rPr>
          <w:rFonts w:ascii="Tahoma" w:hAnsi="Tahoma" w:cs="Tahoma"/>
          <w:bCs/>
          <w:sz w:val="20"/>
        </w:rPr>
        <w:t>«</w:t>
      </w:r>
      <w:r w:rsidR="009F166F" w:rsidRPr="009B7791">
        <w:rPr>
          <w:rFonts w:ascii="Tahoma" w:hAnsi="Tahoma" w:cs="Tahoma"/>
          <w:bCs/>
          <w:sz w:val="20"/>
        </w:rPr>
        <w:t>, ki</w:t>
      </w:r>
      <w:r w:rsidR="009D2BDE">
        <w:rPr>
          <w:rFonts w:ascii="Tahoma" w:hAnsi="Tahoma" w:cs="Tahoma"/>
          <w:bCs/>
          <w:sz w:val="20"/>
        </w:rPr>
        <w:t xml:space="preserve"> smo ga</w:t>
      </w:r>
      <w:r w:rsidR="009F166F">
        <w:rPr>
          <w:rFonts w:ascii="Tahoma" w:hAnsi="Tahoma" w:cs="Tahoma"/>
          <w:bCs/>
          <w:sz w:val="20"/>
        </w:rPr>
        <w:t xml:space="preserve"> prejeli </w:t>
      </w:r>
      <w:r w:rsidR="009B7791">
        <w:rPr>
          <w:rFonts w:ascii="Tahoma" w:hAnsi="Tahoma" w:cs="Tahoma"/>
          <w:bCs/>
          <w:sz w:val="20"/>
        </w:rPr>
        <w:t>preko Portala javnih naročil</w:t>
      </w:r>
      <w:r w:rsidR="009F166F">
        <w:rPr>
          <w:rFonts w:ascii="Tahoma" w:hAnsi="Tahoma" w:cs="Tahoma"/>
          <w:bCs/>
          <w:sz w:val="20"/>
        </w:rPr>
        <w:t>.</w:t>
      </w:r>
      <w:r w:rsidR="009D2BDE">
        <w:rPr>
          <w:rFonts w:ascii="Tahoma" w:hAnsi="Tahoma" w:cs="Tahoma"/>
          <w:bCs/>
          <w:sz w:val="20"/>
        </w:rPr>
        <w:t xml:space="preserve"> </w:t>
      </w:r>
    </w:p>
    <w:p w:rsidR="00AB4DCC" w:rsidRDefault="00AB4DCC" w:rsidP="008209B6">
      <w:pPr>
        <w:keepNext/>
        <w:jc w:val="both"/>
        <w:rPr>
          <w:rFonts w:ascii="Tahoma" w:hAnsi="Tahoma" w:cs="Tahoma"/>
          <w:color w:val="FF0000"/>
          <w:sz w:val="20"/>
        </w:rPr>
      </w:pPr>
    </w:p>
    <w:p w:rsidR="003C747C" w:rsidRPr="00FE5AF8" w:rsidRDefault="003C747C"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110BC7" w:rsidRPr="00110BC7" w:rsidRDefault="00110BC7" w:rsidP="008209B6">
      <w:pPr>
        <w:keepNext/>
        <w:rPr>
          <w:rFonts w:ascii="Tahoma" w:hAnsi="Tahoma" w:cs="Tahoma"/>
          <w:bCs/>
          <w:sz w:val="20"/>
        </w:rPr>
      </w:pPr>
      <w:r w:rsidRPr="00110BC7">
        <w:rPr>
          <w:rFonts w:ascii="Tahoma" w:hAnsi="Tahoma" w:cs="Tahoma"/>
          <w:bCs/>
          <w:sz w:val="20"/>
        </w:rPr>
        <w:t>Spoštovani,</w:t>
      </w:r>
      <w:r w:rsidRPr="00110BC7">
        <w:rPr>
          <w:rFonts w:ascii="Tahoma" w:hAnsi="Tahoma" w:cs="Tahoma"/>
          <w:bCs/>
          <w:sz w:val="20"/>
        </w:rPr>
        <w:br/>
        <w:t>v popisih pod postavko 5210 - izdelava vodenega vrtanja opredelite premer, zaščitno cev itd. saj se na trenuten opis ne da sestaviti cene.</w:t>
      </w:r>
      <w:r w:rsidRPr="00110BC7">
        <w:rPr>
          <w:rFonts w:ascii="Tahoma" w:hAnsi="Tahoma" w:cs="Tahoma"/>
          <w:bCs/>
          <w:sz w:val="20"/>
        </w:rPr>
        <w:br/>
        <w:t xml:space="preserve">lep pozdrav </w:t>
      </w:r>
    </w:p>
    <w:p w:rsidR="00CE79E6" w:rsidRDefault="00CE79E6" w:rsidP="008209B6">
      <w:pPr>
        <w:keepNext/>
        <w:tabs>
          <w:tab w:val="left" w:pos="8505"/>
        </w:tabs>
        <w:jc w:val="both"/>
        <w:rPr>
          <w:rFonts w:ascii="Tahoma" w:hAnsi="Tahoma" w:cs="Tahoma"/>
          <w:color w:val="00B050"/>
          <w:sz w:val="20"/>
        </w:rPr>
      </w:pPr>
      <w:r w:rsidRPr="00CE79E6">
        <w:rPr>
          <w:rFonts w:ascii="Tahoma" w:hAnsi="Tahoma" w:cs="Tahoma"/>
          <w:bCs/>
          <w:sz w:val="20"/>
        </w:rPr>
        <w:t xml:space="preserve"> </w:t>
      </w:r>
    </w:p>
    <w:p w:rsidR="00D65ED9" w:rsidRDefault="003C747C"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CE79E6" w:rsidRPr="00110BC7" w:rsidRDefault="00110BC7" w:rsidP="008209B6">
      <w:pPr>
        <w:keepNext/>
        <w:tabs>
          <w:tab w:val="left" w:pos="8505"/>
        </w:tabs>
        <w:rPr>
          <w:rFonts w:ascii="Tahoma" w:hAnsi="Tahoma" w:cs="Tahoma"/>
          <w:bCs/>
          <w:sz w:val="20"/>
        </w:rPr>
      </w:pPr>
      <w:r w:rsidRPr="00110BC7">
        <w:rPr>
          <w:rFonts w:ascii="Tahoma" w:hAnsi="Tahoma" w:cs="Tahoma"/>
          <w:bCs/>
          <w:sz w:val="20"/>
        </w:rPr>
        <w:t xml:space="preserve">Ponudnik ima za vse postavke možnost vnosa svoje cene – ni nujno, da uporablja le cenik, saj popis ni zaklenjen, lahko vnese drugačne cene v posamezen popis glede na različne dimenzije glede na projektiran kanal. Prilagamo podatke o zaščitnih ceveh, ki pridejo v poštev na posameznih območjih, na katerih je predvideno vodeno </w:t>
      </w:r>
      <w:proofErr w:type="spellStart"/>
      <w:r w:rsidRPr="00110BC7">
        <w:rPr>
          <w:rFonts w:ascii="Tahoma" w:hAnsi="Tahoma" w:cs="Tahoma"/>
          <w:bCs/>
          <w:sz w:val="20"/>
        </w:rPr>
        <w:t>podvrtavanje</w:t>
      </w:r>
      <w:proofErr w:type="spellEnd"/>
      <w:r w:rsidRPr="00110BC7">
        <w:rPr>
          <w:rFonts w:ascii="Tahoma" w:hAnsi="Tahoma" w:cs="Tahoma"/>
          <w:bCs/>
          <w:sz w:val="20"/>
        </w:rPr>
        <w:t>. Zahteve glede dimenzij zaščitnih cevi so razvidne tudi iz vpogleda v projektno dokumentacijo.</w:t>
      </w:r>
    </w:p>
    <w:p w:rsidR="00C400F0" w:rsidRDefault="00C400F0" w:rsidP="008209B6">
      <w:pPr>
        <w:keepNext/>
        <w:rPr>
          <w:color w:val="1F497D"/>
        </w:rPr>
      </w:pPr>
    </w:p>
    <w:tbl>
      <w:tblPr>
        <w:tblW w:w="9112" w:type="dxa"/>
        <w:tblInd w:w="-11" w:type="dxa"/>
        <w:tblLayout w:type="fixed"/>
        <w:tblCellMar>
          <w:left w:w="0" w:type="dxa"/>
          <w:right w:w="0" w:type="dxa"/>
        </w:tblCellMar>
        <w:tblLook w:val="04A0" w:firstRow="1" w:lastRow="0" w:firstColumn="1" w:lastColumn="0" w:noHBand="0" w:noVBand="1"/>
      </w:tblPr>
      <w:tblGrid>
        <w:gridCol w:w="77"/>
        <w:gridCol w:w="927"/>
        <w:gridCol w:w="850"/>
        <w:gridCol w:w="1134"/>
        <w:gridCol w:w="1559"/>
        <w:gridCol w:w="2126"/>
        <w:gridCol w:w="850"/>
        <w:gridCol w:w="852"/>
        <w:gridCol w:w="737"/>
      </w:tblGrid>
      <w:tr w:rsidR="00C400F0" w:rsidRPr="00C400F0" w:rsidTr="00C400F0">
        <w:trPr>
          <w:trHeight w:val="600"/>
        </w:trPr>
        <w:tc>
          <w:tcPr>
            <w:tcW w:w="77" w:type="dxa"/>
            <w:vAlign w:val="center"/>
            <w:hideMark/>
          </w:tcPr>
          <w:p w:rsidR="00C400F0" w:rsidRPr="00C400F0" w:rsidRDefault="00C400F0" w:rsidP="008209B6">
            <w:pPr>
              <w:keepNext/>
              <w:rPr>
                <w:rFonts w:ascii="Calibri" w:eastAsiaTheme="minorHAnsi" w:hAnsi="Calibri" w:cs="Calibri"/>
                <w:sz w:val="16"/>
                <w:szCs w:val="16"/>
                <w:lang w:eastAsia="en-US"/>
              </w:rPr>
            </w:pPr>
            <w:r w:rsidRPr="00C400F0">
              <w:rPr>
                <w:sz w:val="16"/>
                <w:szCs w:val="16"/>
              </w:rPr>
              <w:t> </w:t>
            </w:r>
          </w:p>
        </w:tc>
        <w:tc>
          <w:tcPr>
            <w:tcW w:w="927" w:type="dxa"/>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SIFRA POSTAVKE</w:t>
            </w:r>
          </w:p>
        </w:tc>
        <w:tc>
          <w:tcPr>
            <w:tcW w:w="850"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ULICA</w:t>
            </w:r>
          </w:p>
        </w:tc>
        <w:tc>
          <w:tcPr>
            <w:tcW w:w="1134"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SKUPINA_DEL</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PODSKUPINA_DEL</w:t>
            </w:r>
          </w:p>
        </w:tc>
        <w:tc>
          <w:tcPr>
            <w:tcW w:w="212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POSTAVKA</w:t>
            </w:r>
          </w:p>
        </w:tc>
        <w:tc>
          <w:tcPr>
            <w:tcW w:w="85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ENOTA</w:t>
            </w:r>
          </w:p>
        </w:tc>
        <w:tc>
          <w:tcPr>
            <w:tcW w:w="8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KOLICINA</w:t>
            </w:r>
          </w:p>
        </w:tc>
        <w:tc>
          <w:tcPr>
            <w:tcW w:w="737" w:type="dxa"/>
            <w:tcBorders>
              <w:top w:val="single" w:sz="8" w:space="0" w:color="auto"/>
              <w:left w:val="nil"/>
              <w:bottom w:val="single" w:sz="8" w:space="0" w:color="auto"/>
              <w:right w:val="single" w:sz="8" w:space="0" w:color="auto"/>
            </w:tcBorders>
            <w:shd w:val="clear" w:color="auto" w:fill="BFBFBF"/>
          </w:tcPr>
          <w:p w:rsidR="00C400F0" w:rsidRPr="00C400F0" w:rsidRDefault="00C400F0" w:rsidP="008209B6">
            <w:pPr>
              <w:keepNext/>
              <w:rPr>
                <w:rFonts w:ascii="Calibri" w:eastAsiaTheme="minorHAnsi" w:hAnsi="Calibri" w:cs="Calibri"/>
                <w:b/>
                <w:bCs/>
                <w:color w:val="000000"/>
                <w:sz w:val="16"/>
                <w:szCs w:val="16"/>
              </w:rPr>
            </w:pPr>
          </w:p>
        </w:tc>
      </w:tr>
      <w:tr w:rsidR="00C400F0" w:rsidRPr="00C400F0" w:rsidTr="00C400F0">
        <w:trPr>
          <w:trHeight w:val="1200"/>
        </w:trPr>
        <w:tc>
          <w:tcPr>
            <w:tcW w:w="77" w:type="dxa"/>
            <w:vAlign w:val="center"/>
            <w:hideMark/>
          </w:tcPr>
          <w:p w:rsidR="00C400F0" w:rsidRPr="00C400F0" w:rsidRDefault="00C400F0" w:rsidP="008209B6">
            <w:pPr>
              <w:keepNext/>
              <w:rPr>
                <w:rFonts w:ascii="Calibri" w:eastAsiaTheme="minorHAnsi" w:hAnsi="Calibri" w:cs="Calibri"/>
                <w:sz w:val="16"/>
                <w:szCs w:val="16"/>
                <w:lang w:eastAsia="en-US"/>
              </w:rPr>
            </w:pPr>
            <w:r w:rsidRPr="00C400F0">
              <w:rPr>
                <w:sz w:val="16"/>
                <w:szCs w:val="16"/>
              </w:rPr>
              <w:t> </w:t>
            </w:r>
          </w:p>
        </w:tc>
        <w:tc>
          <w:tcPr>
            <w:tcW w:w="927"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192-5201</w:t>
            </w:r>
          </w:p>
        </w:tc>
        <w:tc>
          <w:tcPr>
            <w:tcW w:w="850"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Litijska cesta, odsek 1</w:t>
            </w:r>
          </w:p>
        </w:tc>
        <w:tc>
          <w:tcPr>
            <w:tcW w:w="1134"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5 KANALIZACIJA - GRADBENA DELA</w:t>
            </w:r>
          </w:p>
        </w:tc>
        <w:tc>
          <w:tcPr>
            <w:tcW w:w="1559"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 Gradnje - </w:t>
            </w:r>
            <w:proofErr w:type="spellStart"/>
            <w:r w:rsidRPr="00C400F0">
              <w:rPr>
                <w:color w:val="000000"/>
                <w:sz w:val="16"/>
                <w:szCs w:val="16"/>
              </w:rPr>
              <w:t>podvrtavanje</w:t>
            </w:r>
            <w:proofErr w:type="spellEnd"/>
            <w:r w:rsidRPr="00C400F0">
              <w:rPr>
                <w:color w:val="000000"/>
                <w:sz w:val="16"/>
                <w:szCs w:val="16"/>
              </w:rPr>
              <w:t xml:space="preserve">, </w:t>
            </w:r>
            <w:proofErr w:type="spellStart"/>
            <w:r w:rsidRPr="00C400F0">
              <w:rPr>
                <w:color w:val="000000"/>
                <w:sz w:val="16"/>
                <w:szCs w:val="16"/>
              </w:rPr>
              <w:t>podbijanje</w:t>
            </w:r>
            <w:proofErr w:type="spellEnd"/>
          </w:p>
        </w:tc>
        <w:tc>
          <w:tcPr>
            <w:tcW w:w="2126"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5201 - Izdelava vodenega </w:t>
            </w:r>
            <w:proofErr w:type="spellStart"/>
            <w:r w:rsidRPr="00C400F0">
              <w:rPr>
                <w:color w:val="000000"/>
                <w:sz w:val="16"/>
                <w:szCs w:val="16"/>
              </w:rPr>
              <w:t>podvrtavanja</w:t>
            </w:r>
            <w:proofErr w:type="spellEnd"/>
            <w:r w:rsidRPr="00C400F0">
              <w:rPr>
                <w:color w:val="000000"/>
                <w:sz w:val="16"/>
                <w:szCs w:val="16"/>
              </w:rPr>
              <w:t xml:space="preserve">. Upoštevan je prevoz in premik garniture, izvedba vrtanja z vsemi potrebnimi deli.  Vključena so vsa zemeljska dela in zaščita vstopne in izstopne gradbene jame. </w:t>
            </w:r>
          </w:p>
        </w:tc>
        <w:tc>
          <w:tcPr>
            <w:tcW w:w="85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proofErr w:type="spellStart"/>
            <w:r w:rsidRPr="00C400F0">
              <w:rPr>
                <w:color w:val="000000"/>
                <w:sz w:val="16"/>
                <w:szCs w:val="16"/>
              </w:rPr>
              <w:t>kpl</w:t>
            </w:r>
            <w:proofErr w:type="spellEnd"/>
          </w:p>
        </w:tc>
        <w:tc>
          <w:tcPr>
            <w:tcW w:w="85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rPr>
              <w:t>1,00</w:t>
            </w:r>
          </w:p>
        </w:tc>
        <w:tc>
          <w:tcPr>
            <w:tcW w:w="737" w:type="dxa"/>
            <w:tcBorders>
              <w:top w:val="nil"/>
              <w:left w:val="nil"/>
              <w:bottom w:val="single" w:sz="8" w:space="0" w:color="auto"/>
              <w:right w:val="single" w:sz="8" w:space="0" w:color="auto"/>
            </w:tcBorders>
            <w:shd w:val="clear" w:color="auto" w:fill="BFBFBF"/>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highlight w:val="yellow"/>
              </w:rPr>
              <w:t>Zaščitna cev 400 mm za gravitacijski kanal DN 250.</w:t>
            </w:r>
          </w:p>
        </w:tc>
      </w:tr>
      <w:tr w:rsidR="00C400F0" w:rsidRPr="00C400F0" w:rsidTr="00C400F0">
        <w:trPr>
          <w:trHeight w:val="1200"/>
        </w:trPr>
        <w:tc>
          <w:tcPr>
            <w:tcW w:w="77" w:type="dxa"/>
            <w:vAlign w:val="center"/>
            <w:hideMark/>
          </w:tcPr>
          <w:p w:rsidR="00C400F0" w:rsidRPr="00C400F0" w:rsidRDefault="00C400F0" w:rsidP="008209B6">
            <w:pPr>
              <w:keepNext/>
              <w:rPr>
                <w:rFonts w:ascii="Calibri" w:eastAsiaTheme="minorHAnsi" w:hAnsi="Calibri" w:cs="Calibri"/>
                <w:sz w:val="16"/>
                <w:szCs w:val="16"/>
                <w:lang w:eastAsia="en-US"/>
              </w:rPr>
            </w:pPr>
            <w:r w:rsidRPr="00C400F0">
              <w:rPr>
                <w:sz w:val="16"/>
                <w:szCs w:val="16"/>
              </w:rPr>
              <w:t> </w:t>
            </w:r>
          </w:p>
        </w:tc>
        <w:tc>
          <w:tcPr>
            <w:tcW w:w="927"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552-5201</w:t>
            </w:r>
          </w:p>
        </w:tc>
        <w:tc>
          <w:tcPr>
            <w:tcW w:w="850"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Litijska cesta, odsek 1 - tlačni vod</w:t>
            </w:r>
          </w:p>
        </w:tc>
        <w:tc>
          <w:tcPr>
            <w:tcW w:w="1134"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5 KANALIZACIJA - GRADBENA DELA</w:t>
            </w:r>
          </w:p>
        </w:tc>
        <w:tc>
          <w:tcPr>
            <w:tcW w:w="1559"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 Gradnje - </w:t>
            </w:r>
            <w:proofErr w:type="spellStart"/>
            <w:r w:rsidRPr="00C400F0">
              <w:rPr>
                <w:color w:val="000000"/>
                <w:sz w:val="16"/>
                <w:szCs w:val="16"/>
              </w:rPr>
              <w:t>podvrtavanje</w:t>
            </w:r>
            <w:proofErr w:type="spellEnd"/>
            <w:r w:rsidRPr="00C400F0">
              <w:rPr>
                <w:color w:val="000000"/>
                <w:sz w:val="16"/>
                <w:szCs w:val="16"/>
              </w:rPr>
              <w:t xml:space="preserve">, </w:t>
            </w:r>
            <w:proofErr w:type="spellStart"/>
            <w:r w:rsidRPr="00C400F0">
              <w:rPr>
                <w:color w:val="000000"/>
                <w:sz w:val="16"/>
                <w:szCs w:val="16"/>
              </w:rPr>
              <w:t>podbijanje</w:t>
            </w:r>
            <w:proofErr w:type="spellEnd"/>
          </w:p>
        </w:tc>
        <w:tc>
          <w:tcPr>
            <w:tcW w:w="2126"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5201 - Izdelava vodenega </w:t>
            </w:r>
            <w:proofErr w:type="spellStart"/>
            <w:r w:rsidRPr="00C400F0">
              <w:rPr>
                <w:color w:val="000000"/>
                <w:sz w:val="16"/>
                <w:szCs w:val="16"/>
              </w:rPr>
              <w:t>podvrtavanja</w:t>
            </w:r>
            <w:proofErr w:type="spellEnd"/>
            <w:r w:rsidRPr="00C400F0">
              <w:rPr>
                <w:color w:val="000000"/>
                <w:sz w:val="16"/>
                <w:szCs w:val="16"/>
              </w:rPr>
              <w:t xml:space="preserve">. Upoštevan je prevoz in premik garniture, izvedba vrtanja z vsemi potrebnimi deli.  Vključena so vsa zemeljska dela in zaščita vstopne in izstopne gradbene jame. </w:t>
            </w:r>
          </w:p>
        </w:tc>
        <w:tc>
          <w:tcPr>
            <w:tcW w:w="85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proofErr w:type="spellStart"/>
            <w:r w:rsidRPr="00C400F0">
              <w:rPr>
                <w:color w:val="000000"/>
                <w:sz w:val="16"/>
                <w:szCs w:val="16"/>
              </w:rPr>
              <w:t>kpl</w:t>
            </w:r>
            <w:proofErr w:type="spellEnd"/>
          </w:p>
        </w:tc>
        <w:tc>
          <w:tcPr>
            <w:tcW w:w="85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rPr>
              <w:t>1,00</w:t>
            </w:r>
          </w:p>
        </w:tc>
        <w:tc>
          <w:tcPr>
            <w:tcW w:w="737" w:type="dxa"/>
            <w:tcBorders>
              <w:top w:val="nil"/>
              <w:left w:val="nil"/>
              <w:bottom w:val="single" w:sz="8" w:space="0" w:color="auto"/>
              <w:right w:val="single" w:sz="8" w:space="0" w:color="auto"/>
            </w:tcBorders>
            <w:shd w:val="clear" w:color="auto" w:fill="BFBFBF"/>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highlight w:val="yellow"/>
              </w:rPr>
              <w:t>Zaščitna cev 160 mm za tlačni vod.</w:t>
            </w:r>
          </w:p>
        </w:tc>
      </w:tr>
      <w:tr w:rsidR="00C400F0" w:rsidRPr="00C400F0" w:rsidTr="00C400F0">
        <w:trPr>
          <w:trHeight w:val="1200"/>
        </w:trPr>
        <w:tc>
          <w:tcPr>
            <w:tcW w:w="77" w:type="dxa"/>
            <w:vAlign w:val="center"/>
            <w:hideMark/>
          </w:tcPr>
          <w:p w:rsidR="00C400F0" w:rsidRPr="00C400F0" w:rsidRDefault="00C400F0" w:rsidP="008209B6">
            <w:pPr>
              <w:keepNext/>
              <w:rPr>
                <w:rFonts w:ascii="Calibri" w:eastAsiaTheme="minorHAnsi" w:hAnsi="Calibri" w:cs="Calibri"/>
                <w:sz w:val="16"/>
                <w:szCs w:val="16"/>
                <w:lang w:eastAsia="en-US"/>
              </w:rPr>
            </w:pPr>
            <w:r w:rsidRPr="00C400F0">
              <w:rPr>
                <w:sz w:val="16"/>
                <w:szCs w:val="16"/>
              </w:rPr>
              <w:t> </w:t>
            </w:r>
          </w:p>
        </w:tc>
        <w:tc>
          <w:tcPr>
            <w:tcW w:w="927"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553-5201</w:t>
            </w:r>
          </w:p>
        </w:tc>
        <w:tc>
          <w:tcPr>
            <w:tcW w:w="850"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Sostrska cesta - tlačni vod</w:t>
            </w:r>
          </w:p>
        </w:tc>
        <w:tc>
          <w:tcPr>
            <w:tcW w:w="1134"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5 KANALIZACIJA - GRADBENA DELA</w:t>
            </w:r>
          </w:p>
        </w:tc>
        <w:tc>
          <w:tcPr>
            <w:tcW w:w="1559"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 Gradnje - </w:t>
            </w:r>
            <w:proofErr w:type="spellStart"/>
            <w:r w:rsidRPr="00C400F0">
              <w:rPr>
                <w:color w:val="000000"/>
                <w:sz w:val="16"/>
                <w:szCs w:val="16"/>
              </w:rPr>
              <w:t>podvrtavanje</w:t>
            </w:r>
            <w:proofErr w:type="spellEnd"/>
            <w:r w:rsidRPr="00C400F0">
              <w:rPr>
                <w:color w:val="000000"/>
                <w:sz w:val="16"/>
                <w:szCs w:val="16"/>
              </w:rPr>
              <w:t xml:space="preserve">, </w:t>
            </w:r>
            <w:proofErr w:type="spellStart"/>
            <w:r w:rsidRPr="00C400F0">
              <w:rPr>
                <w:color w:val="000000"/>
                <w:sz w:val="16"/>
                <w:szCs w:val="16"/>
              </w:rPr>
              <w:t>podbijanje</w:t>
            </w:r>
            <w:proofErr w:type="spellEnd"/>
          </w:p>
        </w:tc>
        <w:tc>
          <w:tcPr>
            <w:tcW w:w="2126"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5201 - Izdelava vodenega </w:t>
            </w:r>
            <w:proofErr w:type="spellStart"/>
            <w:r w:rsidRPr="00C400F0">
              <w:rPr>
                <w:color w:val="000000"/>
                <w:sz w:val="16"/>
                <w:szCs w:val="16"/>
              </w:rPr>
              <w:t>podvrtavanja</w:t>
            </w:r>
            <w:proofErr w:type="spellEnd"/>
            <w:r w:rsidRPr="00C400F0">
              <w:rPr>
                <w:color w:val="000000"/>
                <w:sz w:val="16"/>
                <w:szCs w:val="16"/>
              </w:rPr>
              <w:t xml:space="preserve">. Upoštevan je prevoz in premik garniture, izvedba vrtanja z vsemi potrebnimi deli.  Vključena so vsa zemeljska dela in zaščita vstopne in izstopne gradbene jame. </w:t>
            </w:r>
          </w:p>
        </w:tc>
        <w:tc>
          <w:tcPr>
            <w:tcW w:w="85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proofErr w:type="spellStart"/>
            <w:r w:rsidRPr="00C400F0">
              <w:rPr>
                <w:color w:val="000000"/>
                <w:sz w:val="16"/>
                <w:szCs w:val="16"/>
              </w:rPr>
              <w:t>kpl</w:t>
            </w:r>
            <w:proofErr w:type="spellEnd"/>
          </w:p>
        </w:tc>
        <w:tc>
          <w:tcPr>
            <w:tcW w:w="85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rPr>
              <w:t>1,00</w:t>
            </w:r>
          </w:p>
        </w:tc>
        <w:tc>
          <w:tcPr>
            <w:tcW w:w="737" w:type="dxa"/>
            <w:tcBorders>
              <w:top w:val="nil"/>
              <w:left w:val="nil"/>
              <w:bottom w:val="single" w:sz="8" w:space="0" w:color="auto"/>
              <w:right w:val="single" w:sz="8" w:space="0" w:color="auto"/>
            </w:tcBorders>
            <w:shd w:val="clear" w:color="auto" w:fill="BFBFBF"/>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highlight w:val="yellow"/>
              </w:rPr>
              <w:t>Zaščitna cev 160 mm za tlačni vod.</w:t>
            </w:r>
          </w:p>
        </w:tc>
      </w:tr>
      <w:tr w:rsidR="00C400F0" w:rsidRPr="00C400F0" w:rsidTr="00C400F0">
        <w:trPr>
          <w:trHeight w:val="1200"/>
        </w:trPr>
        <w:tc>
          <w:tcPr>
            <w:tcW w:w="77" w:type="dxa"/>
            <w:tcBorders>
              <w:top w:val="nil"/>
              <w:left w:val="nil"/>
              <w:bottom w:val="single" w:sz="8" w:space="0" w:color="auto"/>
              <w:right w:val="nil"/>
            </w:tcBorders>
            <w:vAlign w:val="center"/>
            <w:hideMark/>
          </w:tcPr>
          <w:p w:rsidR="00C400F0" w:rsidRPr="00C400F0" w:rsidRDefault="00C400F0" w:rsidP="008209B6">
            <w:pPr>
              <w:keepNext/>
              <w:rPr>
                <w:rFonts w:ascii="Calibri" w:eastAsiaTheme="minorHAnsi" w:hAnsi="Calibri" w:cs="Calibri"/>
                <w:sz w:val="16"/>
                <w:szCs w:val="16"/>
                <w:lang w:eastAsia="en-US"/>
              </w:rPr>
            </w:pPr>
            <w:r w:rsidRPr="00C400F0">
              <w:rPr>
                <w:sz w:val="16"/>
                <w:szCs w:val="16"/>
              </w:rPr>
              <w:lastRenderedPageBreak/>
              <w:t> </w:t>
            </w:r>
          </w:p>
        </w:tc>
        <w:tc>
          <w:tcPr>
            <w:tcW w:w="927"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554-5201</w:t>
            </w:r>
          </w:p>
        </w:tc>
        <w:tc>
          <w:tcPr>
            <w:tcW w:w="850"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Sostrska cesta, Sostrska cesta, odcep 3</w:t>
            </w:r>
          </w:p>
        </w:tc>
        <w:tc>
          <w:tcPr>
            <w:tcW w:w="1134"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5 KANALIZACIJA - GRADBENA DELA</w:t>
            </w:r>
          </w:p>
        </w:tc>
        <w:tc>
          <w:tcPr>
            <w:tcW w:w="1559"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 Gradnje - </w:t>
            </w:r>
            <w:proofErr w:type="spellStart"/>
            <w:r w:rsidRPr="00C400F0">
              <w:rPr>
                <w:color w:val="000000"/>
                <w:sz w:val="16"/>
                <w:szCs w:val="16"/>
              </w:rPr>
              <w:t>podvrtavanje</w:t>
            </w:r>
            <w:proofErr w:type="spellEnd"/>
            <w:r w:rsidRPr="00C400F0">
              <w:rPr>
                <w:color w:val="000000"/>
                <w:sz w:val="16"/>
                <w:szCs w:val="16"/>
              </w:rPr>
              <w:t xml:space="preserve">, </w:t>
            </w:r>
            <w:proofErr w:type="spellStart"/>
            <w:r w:rsidRPr="00C400F0">
              <w:rPr>
                <w:color w:val="000000"/>
                <w:sz w:val="16"/>
                <w:szCs w:val="16"/>
              </w:rPr>
              <w:t>podbijanje</w:t>
            </w:r>
            <w:proofErr w:type="spellEnd"/>
          </w:p>
        </w:tc>
        <w:tc>
          <w:tcPr>
            <w:tcW w:w="2126"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5201 - Izdelava vodenega </w:t>
            </w:r>
            <w:proofErr w:type="spellStart"/>
            <w:r w:rsidRPr="00C400F0">
              <w:rPr>
                <w:color w:val="000000"/>
                <w:sz w:val="16"/>
                <w:szCs w:val="16"/>
              </w:rPr>
              <w:t>podvrtavanja</w:t>
            </w:r>
            <w:proofErr w:type="spellEnd"/>
            <w:r w:rsidRPr="00C400F0">
              <w:rPr>
                <w:color w:val="000000"/>
                <w:sz w:val="16"/>
                <w:szCs w:val="16"/>
              </w:rPr>
              <w:t xml:space="preserve">. Upoštevan je prevoz in premik garniture, izvedba vrtanja z vsemi potrebnimi deli.  Vključena so vsa zemeljska dela in zaščita vstopne in izstopne gradbene jame. </w:t>
            </w:r>
          </w:p>
        </w:tc>
        <w:tc>
          <w:tcPr>
            <w:tcW w:w="85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proofErr w:type="spellStart"/>
            <w:r w:rsidRPr="00C400F0">
              <w:rPr>
                <w:color w:val="000000"/>
                <w:sz w:val="16"/>
                <w:szCs w:val="16"/>
              </w:rPr>
              <w:t>kpl</w:t>
            </w:r>
            <w:proofErr w:type="spellEnd"/>
          </w:p>
        </w:tc>
        <w:tc>
          <w:tcPr>
            <w:tcW w:w="85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rPr>
              <w:t>1,00</w:t>
            </w:r>
          </w:p>
        </w:tc>
        <w:tc>
          <w:tcPr>
            <w:tcW w:w="737" w:type="dxa"/>
            <w:tcBorders>
              <w:top w:val="nil"/>
              <w:left w:val="nil"/>
              <w:bottom w:val="single" w:sz="8" w:space="0" w:color="auto"/>
              <w:right w:val="single" w:sz="8" w:space="0" w:color="auto"/>
            </w:tcBorders>
            <w:shd w:val="clear" w:color="auto" w:fill="BFBFBF"/>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highlight w:val="yellow"/>
              </w:rPr>
              <w:t>Zaščitna cev 400 mm za gravitacijski kanal DN 250.</w:t>
            </w:r>
          </w:p>
        </w:tc>
      </w:tr>
      <w:tr w:rsidR="00C400F0" w:rsidRPr="00C400F0" w:rsidTr="00C400F0">
        <w:trPr>
          <w:trHeight w:val="1200"/>
        </w:trPr>
        <w:tc>
          <w:tcPr>
            <w:tcW w:w="1004" w:type="dxa"/>
            <w:gridSpan w:val="2"/>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b/>
                <w:bCs/>
                <w:color w:val="000000"/>
                <w:sz w:val="16"/>
                <w:szCs w:val="16"/>
              </w:rPr>
            </w:pPr>
            <w:r w:rsidRPr="00C400F0">
              <w:rPr>
                <w:b/>
                <w:bCs/>
                <w:color w:val="000000"/>
                <w:sz w:val="16"/>
                <w:szCs w:val="16"/>
              </w:rPr>
              <w:t>68 - 5201</w:t>
            </w:r>
          </w:p>
        </w:tc>
        <w:tc>
          <w:tcPr>
            <w:tcW w:w="850"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Sončna pot</w:t>
            </w:r>
          </w:p>
        </w:tc>
        <w:tc>
          <w:tcPr>
            <w:tcW w:w="1134"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5 KANALIZACIJA - GRADBENA DELA</w:t>
            </w:r>
          </w:p>
        </w:tc>
        <w:tc>
          <w:tcPr>
            <w:tcW w:w="1559"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 Gradnje - </w:t>
            </w:r>
            <w:proofErr w:type="spellStart"/>
            <w:r w:rsidRPr="00C400F0">
              <w:rPr>
                <w:color w:val="000000"/>
                <w:sz w:val="16"/>
                <w:szCs w:val="16"/>
              </w:rPr>
              <w:t>podvrtavanje</w:t>
            </w:r>
            <w:proofErr w:type="spellEnd"/>
            <w:r w:rsidRPr="00C400F0">
              <w:rPr>
                <w:color w:val="000000"/>
                <w:sz w:val="16"/>
                <w:szCs w:val="16"/>
              </w:rPr>
              <w:t xml:space="preserve">, </w:t>
            </w:r>
            <w:proofErr w:type="spellStart"/>
            <w:r w:rsidRPr="00C400F0">
              <w:rPr>
                <w:color w:val="000000"/>
                <w:sz w:val="16"/>
                <w:szCs w:val="16"/>
              </w:rPr>
              <w:t>podbijanje</w:t>
            </w:r>
            <w:proofErr w:type="spellEnd"/>
          </w:p>
        </w:tc>
        <w:tc>
          <w:tcPr>
            <w:tcW w:w="2126"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r w:rsidRPr="00C400F0">
              <w:rPr>
                <w:color w:val="000000"/>
                <w:sz w:val="16"/>
                <w:szCs w:val="16"/>
              </w:rPr>
              <w:t xml:space="preserve">5201 - Izdelava vodenega </w:t>
            </w:r>
            <w:proofErr w:type="spellStart"/>
            <w:r w:rsidRPr="00C400F0">
              <w:rPr>
                <w:color w:val="000000"/>
                <w:sz w:val="16"/>
                <w:szCs w:val="16"/>
              </w:rPr>
              <w:t>podvrtavanja</w:t>
            </w:r>
            <w:proofErr w:type="spellEnd"/>
            <w:r w:rsidRPr="00C400F0">
              <w:rPr>
                <w:color w:val="000000"/>
                <w:sz w:val="16"/>
                <w:szCs w:val="16"/>
              </w:rPr>
              <w:t xml:space="preserve">. Upoštevan je prevoz in premik garniture, izvedba vrtanja z vsemi potrebnimi deli.  Vključena so vsa zemeljska dela in zaščita vstopne in izstopne gradbene jame. </w:t>
            </w:r>
          </w:p>
        </w:tc>
        <w:tc>
          <w:tcPr>
            <w:tcW w:w="85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rPr>
                <w:rFonts w:ascii="Calibri" w:eastAsiaTheme="minorHAnsi" w:hAnsi="Calibri" w:cs="Calibri"/>
                <w:color w:val="000000"/>
                <w:sz w:val="16"/>
                <w:szCs w:val="16"/>
              </w:rPr>
            </w:pPr>
            <w:proofErr w:type="spellStart"/>
            <w:r w:rsidRPr="00C400F0">
              <w:rPr>
                <w:color w:val="000000"/>
                <w:sz w:val="16"/>
                <w:szCs w:val="16"/>
              </w:rPr>
              <w:t>kpl</w:t>
            </w:r>
            <w:proofErr w:type="spellEnd"/>
          </w:p>
        </w:tc>
        <w:tc>
          <w:tcPr>
            <w:tcW w:w="85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rPr>
              <w:t>1,00</w:t>
            </w:r>
          </w:p>
        </w:tc>
        <w:tc>
          <w:tcPr>
            <w:tcW w:w="737" w:type="dxa"/>
            <w:tcBorders>
              <w:top w:val="nil"/>
              <w:left w:val="nil"/>
              <w:bottom w:val="single" w:sz="8" w:space="0" w:color="auto"/>
              <w:right w:val="single" w:sz="8" w:space="0" w:color="auto"/>
            </w:tcBorders>
            <w:shd w:val="clear" w:color="auto" w:fill="BFBFBF"/>
            <w:hideMark/>
          </w:tcPr>
          <w:p w:rsidR="00C400F0" w:rsidRPr="00C400F0" w:rsidRDefault="00C400F0" w:rsidP="008209B6">
            <w:pPr>
              <w:keepNext/>
              <w:jc w:val="right"/>
              <w:rPr>
                <w:rFonts w:ascii="Calibri" w:eastAsiaTheme="minorHAnsi" w:hAnsi="Calibri" w:cs="Calibri"/>
                <w:color w:val="000000"/>
                <w:sz w:val="16"/>
                <w:szCs w:val="16"/>
              </w:rPr>
            </w:pPr>
            <w:r w:rsidRPr="00C400F0">
              <w:rPr>
                <w:color w:val="000000"/>
                <w:sz w:val="16"/>
                <w:szCs w:val="16"/>
                <w:highlight w:val="yellow"/>
              </w:rPr>
              <w:t>Zaščitna cev 400 mm za gravitacijski kanal DN 250.</w:t>
            </w:r>
          </w:p>
        </w:tc>
      </w:tr>
      <w:tr w:rsidR="00C400F0" w:rsidRPr="00C400F0" w:rsidTr="00C400F0">
        <w:tc>
          <w:tcPr>
            <w:tcW w:w="77" w:type="dxa"/>
            <w:vAlign w:val="center"/>
            <w:hideMark/>
          </w:tcPr>
          <w:p w:rsidR="00C400F0" w:rsidRPr="00C400F0" w:rsidRDefault="00C400F0" w:rsidP="008209B6">
            <w:pPr>
              <w:keepNext/>
              <w:rPr>
                <w:rFonts w:ascii="Times New Roman" w:hAnsi="Times New Roman"/>
                <w:sz w:val="16"/>
                <w:szCs w:val="16"/>
              </w:rPr>
            </w:pPr>
          </w:p>
        </w:tc>
        <w:tc>
          <w:tcPr>
            <w:tcW w:w="927" w:type="dxa"/>
            <w:vAlign w:val="center"/>
            <w:hideMark/>
          </w:tcPr>
          <w:p w:rsidR="00C400F0" w:rsidRPr="00C400F0" w:rsidRDefault="00C400F0" w:rsidP="008209B6">
            <w:pPr>
              <w:keepNext/>
              <w:rPr>
                <w:rFonts w:ascii="Times New Roman" w:hAnsi="Times New Roman"/>
                <w:sz w:val="16"/>
                <w:szCs w:val="16"/>
              </w:rPr>
            </w:pPr>
          </w:p>
        </w:tc>
        <w:tc>
          <w:tcPr>
            <w:tcW w:w="850" w:type="dxa"/>
            <w:vAlign w:val="center"/>
            <w:hideMark/>
          </w:tcPr>
          <w:p w:rsidR="00C400F0" w:rsidRPr="00C400F0" w:rsidRDefault="00C400F0" w:rsidP="008209B6">
            <w:pPr>
              <w:keepNext/>
              <w:rPr>
                <w:rFonts w:ascii="Times New Roman" w:hAnsi="Times New Roman"/>
                <w:sz w:val="16"/>
                <w:szCs w:val="16"/>
              </w:rPr>
            </w:pPr>
          </w:p>
        </w:tc>
        <w:tc>
          <w:tcPr>
            <w:tcW w:w="1134" w:type="dxa"/>
            <w:vAlign w:val="center"/>
            <w:hideMark/>
          </w:tcPr>
          <w:p w:rsidR="00C400F0" w:rsidRPr="00C400F0" w:rsidRDefault="00C400F0" w:rsidP="008209B6">
            <w:pPr>
              <w:keepNext/>
              <w:rPr>
                <w:rFonts w:ascii="Times New Roman" w:hAnsi="Times New Roman"/>
                <w:sz w:val="16"/>
                <w:szCs w:val="16"/>
              </w:rPr>
            </w:pPr>
          </w:p>
        </w:tc>
        <w:tc>
          <w:tcPr>
            <w:tcW w:w="1559" w:type="dxa"/>
            <w:vAlign w:val="center"/>
            <w:hideMark/>
          </w:tcPr>
          <w:p w:rsidR="00C400F0" w:rsidRPr="00C400F0" w:rsidRDefault="00C400F0" w:rsidP="008209B6">
            <w:pPr>
              <w:keepNext/>
              <w:rPr>
                <w:rFonts w:ascii="Times New Roman" w:hAnsi="Times New Roman"/>
                <w:sz w:val="16"/>
                <w:szCs w:val="16"/>
              </w:rPr>
            </w:pPr>
          </w:p>
        </w:tc>
        <w:tc>
          <w:tcPr>
            <w:tcW w:w="2126" w:type="dxa"/>
            <w:vAlign w:val="center"/>
            <w:hideMark/>
          </w:tcPr>
          <w:p w:rsidR="00C400F0" w:rsidRPr="00C400F0" w:rsidRDefault="00C400F0" w:rsidP="008209B6">
            <w:pPr>
              <w:keepNext/>
              <w:rPr>
                <w:rFonts w:ascii="Times New Roman" w:hAnsi="Times New Roman"/>
                <w:sz w:val="16"/>
                <w:szCs w:val="16"/>
              </w:rPr>
            </w:pPr>
          </w:p>
        </w:tc>
        <w:tc>
          <w:tcPr>
            <w:tcW w:w="850" w:type="dxa"/>
            <w:vAlign w:val="center"/>
            <w:hideMark/>
          </w:tcPr>
          <w:p w:rsidR="00C400F0" w:rsidRPr="00C400F0" w:rsidRDefault="00C400F0" w:rsidP="008209B6">
            <w:pPr>
              <w:keepNext/>
              <w:rPr>
                <w:rFonts w:ascii="Times New Roman" w:hAnsi="Times New Roman"/>
                <w:sz w:val="16"/>
                <w:szCs w:val="16"/>
              </w:rPr>
            </w:pPr>
          </w:p>
        </w:tc>
        <w:tc>
          <w:tcPr>
            <w:tcW w:w="852" w:type="dxa"/>
            <w:vAlign w:val="center"/>
            <w:hideMark/>
          </w:tcPr>
          <w:p w:rsidR="00C400F0" w:rsidRPr="00C400F0" w:rsidRDefault="00C400F0" w:rsidP="008209B6">
            <w:pPr>
              <w:keepNext/>
              <w:rPr>
                <w:rFonts w:ascii="Times New Roman" w:hAnsi="Times New Roman"/>
                <w:sz w:val="16"/>
                <w:szCs w:val="16"/>
              </w:rPr>
            </w:pPr>
          </w:p>
        </w:tc>
        <w:tc>
          <w:tcPr>
            <w:tcW w:w="737" w:type="dxa"/>
            <w:vAlign w:val="center"/>
            <w:hideMark/>
          </w:tcPr>
          <w:p w:rsidR="00C400F0" w:rsidRPr="00C400F0" w:rsidRDefault="00C400F0" w:rsidP="008209B6">
            <w:pPr>
              <w:keepNext/>
              <w:rPr>
                <w:rFonts w:ascii="Times New Roman" w:hAnsi="Times New Roman"/>
                <w:sz w:val="16"/>
                <w:szCs w:val="16"/>
              </w:rPr>
            </w:pPr>
          </w:p>
        </w:tc>
      </w:tr>
    </w:tbl>
    <w:p w:rsidR="00C400F0" w:rsidRDefault="00C400F0" w:rsidP="008209B6">
      <w:pPr>
        <w:keepNext/>
        <w:rPr>
          <w:rFonts w:ascii="Calibri" w:eastAsiaTheme="minorHAnsi" w:hAnsi="Calibri" w:cs="Calibri"/>
          <w:color w:val="1F497D"/>
          <w:sz w:val="22"/>
          <w:szCs w:val="22"/>
          <w:lang w:eastAsia="en-US"/>
        </w:rPr>
      </w:pPr>
    </w:p>
    <w:p w:rsidR="008209B6" w:rsidRDefault="008209B6" w:rsidP="008209B6">
      <w:pPr>
        <w:keepNext/>
        <w:rPr>
          <w:rFonts w:ascii="Tahoma" w:hAnsi="Tahoma" w:cs="Tahoma"/>
          <w:bCs/>
          <w:sz w:val="20"/>
        </w:rPr>
      </w:pPr>
      <w:bookmarkStart w:id="0" w:name="_GoBack"/>
      <w:bookmarkEnd w:id="0"/>
    </w:p>
    <w:p w:rsidR="00C1669B" w:rsidRPr="00FE5AF8" w:rsidRDefault="00C1669B"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C1669B" w:rsidRDefault="00C1669B" w:rsidP="008209B6">
      <w:pPr>
        <w:keepNext/>
        <w:tabs>
          <w:tab w:val="left" w:pos="8505"/>
        </w:tabs>
        <w:rPr>
          <w:rFonts w:ascii="Tahoma" w:hAnsi="Tahoma" w:cs="Tahoma"/>
          <w:bCs/>
          <w:sz w:val="20"/>
        </w:rPr>
      </w:pPr>
      <w:r w:rsidRPr="008209B6">
        <w:rPr>
          <w:rFonts w:ascii="Tahoma" w:hAnsi="Tahoma" w:cs="Tahoma"/>
          <w:bCs/>
          <w:sz w:val="20"/>
        </w:rPr>
        <w:t xml:space="preserve">Pozivamo naročnika, da omogoči, da se referenčni pogoj izkaže z referenco, ki izkazuje gradnjo 15 km javne kanalizacije premera enakega ali večjega od 250 mm, od tega vsaj 1 projekt, daljši od 3 km in 2 javni kanalizacijski črpališči za komunalno odpadno vodo brez dodatnih zahtev v nadaljevanju. Navedena dela namreč po zahtevnosti prevladujejo. Obstoječ pogoj tudi sicer omejuje konkurenco na samo en gospodarski subjekt, zaradi česar bi naročnik, če ne želi ponudniku omogočiti nerazumno visokega monopolnega dobička, moral biti že sam zainteresiran popraviti besedilo referenčnih pogojev. Vztrajanje naročnika pri obstoječih pogojih bomo razumeli kot zlorabo sistema javnega naročanja, katerega cilj ni racionalno izvajanje javnih naročil, ampak sistemsko omogočanje dobičkov točno določenemu ponudniku. </w:t>
      </w:r>
      <w:r w:rsidRPr="008209B6">
        <w:rPr>
          <w:rFonts w:ascii="Tahoma" w:hAnsi="Tahoma" w:cs="Tahoma"/>
          <w:bCs/>
          <w:sz w:val="20"/>
        </w:rPr>
        <w:br/>
      </w:r>
      <w:r w:rsidRPr="008209B6">
        <w:rPr>
          <w:rFonts w:ascii="Tahoma" w:hAnsi="Tahoma" w:cs="Tahoma"/>
          <w:bCs/>
          <w:sz w:val="20"/>
        </w:rPr>
        <w:br/>
        <w:t>Naročnika pozivamo, da k proučitvi vseh zgoraj navedenih pozivov pristopi resno in s tem omogoči konkurenco v predmetnem postopku. V nasprotnem primeru bomo z zahtevkom za revizijo, kot tudi z drugimi pravnimi sredstvi (obvestilo občinskemu svetu, Računskemu sodišču RS, KPK,) izpodbijali ravnanja naročnika.</w:t>
      </w:r>
    </w:p>
    <w:p w:rsidR="00C1669B" w:rsidRDefault="00C1669B"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8209B6" w:rsidRPr="008209B6" w:rsidRDefault="008209B6" w:rsidP="008209B6">
      <w:pPr>
        <w:keepNext/>
        <w:tabs>
          <w:tab w:val="left" w:pos="8505"/>
        </w:tabs>
        <w:rPr>
          <w:rFonts w:ascii="Tahoma" w:hAnsi="Tahoma" w:cs="Tahoma"/>
          <w:bCs/>
          <w:sz w:val="20"/>
        </w:rPr>
      </w:pPr>
      <w:r w:rsidRPr="008209B6">
        <w:rPr>
          <w:rFonts w:ascii="Tahoma" w:hAnsi="Tahoma" w:cs="Tahoma"/>
          <w:bCs/>
          <w:sz w:val="20"/>
        </w:rPr>
        <w:t>Ponudnik lahko referenčni pogoj izpolni sam, skupaj s podizvajalci ali s partnerji v skupni ponudbi.</w:t>
      </w:r>
    </w:p>
    <w:p w:rsidR="008209B6" w:rsidRDefault="008209B6" w:rsidP="008209B6">
      <w:pPr>
        <w:keepNext/>
        <w:jc w:val="both"/>
        <w:rPr>
          <w:rFonts w:ascii="Tahoma" w:hAnsi="Tahoma" w:cs="Tahoma"/>
          <w:color w:val="FF0000"/>
          <w:sz w:val="20"/>
        </w:rPr>
      </w:pPr>
    </w:p>
    <w:p w:rsidR="00C1669B" w:rsidRPr="00FE5AF8" w:rsidRDefault="00C1669B"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C1669B" w:rsidRDefault="00C1669B" w:rsidP="008209B6">
      <w:pPr>
        <w:keepNext/>
        <w:tabs>
          <w:tab w:val="left" w:pos="8505"/>
        </w:tabs>
        <w:rPr>
          <w:rFonts w:ascii="Tahoma" w:hAnsi="Tahoma" w:cs="Tahoma"/>
          <w:bCs/>
          <w:sz w:val="20"/>
        </w:rPr>
      </w:pPr>
      <w:r w:rsidRPr="008209B6">
        <w:rPr>
          <w:rFonts w:ascii="Tahoma" w:hAnsi="Tahoma" w:cs="Tahoma"/>
          <w:bCs/>
          <w:sz w:val="20"/>
        </w:rPr>
        <w:t>Spoštovani!</w:t>
      </w:r>
      <w:r w:rsidRPr="008209B6">
        <w:rPr>
          <w:rFonts w:ascii="Tahoma" w:hAnsi="Tahoma" w:cs="Tahoma"/>
          <w:bCs/>
          <w:sz w:val="20"/>
        </w:rPr>
        <w:br/>
        <w:t>Naročnika pozivamo, da upošteva načelo sorazmernosti, določeno v 8. členu Zakona o javnem naročanju (</w:t>
      </w:r>
      <w:proofErr w:type="spellStart"/>
      <w:r w:rsidRPr="008209B6">
        <w:rPr>
          <w:rFonts w:ascii="Tahoma" w:hAnsi="Tahoma" w:cs="Tahoma"/>
          <w:bCs/>
          <w:sz w:val="20"/>
        </w:rPr>
        <w:t>Ur.l.RS</w:t>
      </w:r>
      <w:proofErr w:type="spellEnd"/>
      <w:r w:rsidRPr="008209B6">
        <w:rPr>
          <w:rFonts w:ascii="Tahoma" w:hAnsi="Tahoma" w:cs="Tahoma"/>
          <w:bCs/>
          <w:sz w:val="20"/>
        </w:rPr>
        <w:t xml:space="preserve"> št. 91/2015 in 14/2018) ter bonitetno oceno zniža iz SB6 na vsaj SB7 .</w:t>
      </w:r>
      <w:r w:rsidRPr="008209B6">
        <w:rPr>
          <w:rFonts w:ascii="Tahoma" w:hAnsi="Tahoma" w:cs="Tahoma"/>
          <w:bCs/>
          <w:sz w:val="20"/>
        </w:rPr>
        <w:br/>
        <w:t xml:space="preserve">Znižanje zahteve po bonitetni oceni na SB7 je utemeljeno tudi zaradi dejstva, ker je AJPES pred dnevi objavil posodobljene bonitetne ocene, ki so pri vseh najuspešnejših gradbenih podjetjih nižje za eno stopnjo in to kljub temu, da so ta podjetja v preteklem letu dosegla rekordne prihodke. Tudi iz navedenega je evidentno, da se je AJPES znižanja bonitetnih ocen </w:t>
      </w:r>
      <w:proofErr w:type="spellStart"/>
      <w:r w:rsidRPr="008209B6">
        <w:rPr>
          <w:rFonts w:ascii="Tahoma" w:hAnsi="Tahoma" w:cs="Tahoma"/>
          <w:bCs/>
          <w:sz w:val="20"/>
        </w:rPr>
        <w:t>poslužil</w:t>
      </w:r>
      <w:proofErr w:type="spellEnd"/>
      <w:r w:rsidRPr="008209B6">
        <w:rPr>
          <w:rFonts w:ascii="Tahoma" w:hAnsi="Tahoma" w:cs="Tahoma"/>
          <w:bCs/>
          <w:sz w:val="20"/>
        </w:rPr>
        <w:t xml:space="preserve"> zaradi tveganja, da je bil dosežen vrh gradbenega cikla, saj primerljiva podjetja, ki kot registrirano glavno dejavnost nimajo gradbeništva, ohranjajo bonitetno oceno nespremenjeno. Torej je splošno znižanje bonitetnih ocen glede na predhodno leto posledica tveganj v panogi in ne zmanjšane solidnosti podjetja.</w:t>
      </w:r>
      <w:r w:rsidRPr="008209B6">
        <w:rPr>
          <w:rFonts w:ascii="Tahoma" w:hAnsi="Tahoma" w:cs="Tahoma"/>
          <w:bCs/>
          <w:sz w:val="20"/>
        </w:rPr>
        <w:br/>
        <w:t>Vse to ima za posledico, da je bonitetna ocena SB6 ob takšnih kriterijih že izrazito nadstandardna. Naročnik lahko iz opisa bonitetnih ocen ugotovi, da je tudi pri SB7 zmožnost ponudnikov za poravnavanje svojih obveznosti še vedno nadpovprečna in da naročnik za vztrajanje pri SB6 nima nobenega tehtnega razloga.</w:t>
      </w:r>
      <w:r w:rsidRPr="008209B6">
        <w:rPr>
          <w:rFonts w:ascii="Tahoma" w:hAnsi="Tahoma" w:cs="Tahoma"/>
          <w:bCs/>
          <w:sz w:val="20"/>
        </w:rPr>
        <w:br/>
        <w:t>Z znižanjem bonitetne ocene bo naročnik zagotovil, da se bodo na javno naročilo lahko prijavila uspešna gradbena podjetja z ustreznimi referencami.</w:t>
      </w:r>
      <w:r w:rsidRPr="008209B6">
        <w:rPr>
          <w:rFonts w:ascii="Tahoma" w:hAnsi="Tahoma" w:cs="Tahoma"/>
          <w:bCs/>
          <w:sz w:val="20"/>
        </w:rPr>
        <w:br/>
        <w:t>Lep pozdrav</w:t>
      </w:r>
    </w:p>
    <w:p w:rsidR="00C1669B" w:rsidRDefault="00C1669B"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8209B6" w:rsidRPr="008209B6" w:rsidRDefault="008209B6" w:rsidP="008209B6">
      <w:pPr>
        <w:keepNext/>
        <w:tabs>
          <w:tab w:val="left" w:pos="8505"/>
        </w:tabs>
        <w:rPr>
          <w:rFonts w:ascii="Tahoma" w:hAnsi="Tahoma" w:cs="Tahoma"/>
          <w:bCs/>
          <w:sz w:val="20"/>
        </w:rPr>
      </w:pPr>
      <w:r w:rsidRPr="008209B6">
        <w:rPr>
          <w:rFonts w:ascii="Tahoma" w:hAnsi="Tahoma" w:cs="Tahoma"/>
          <w:bCs/>
          <w:sz w:val="20"/>
        </w:rPr>
        <w:t>Po navedbah s strani AJPES-a (</w:t>
      </w:r>
      <w:hyperlink r:id="rId9" w:history="1">
        <w:r w:rsidRPr="008209B6">
          <w:rPr>
            <w:rFonts w:ascii="Tahoma" w:hAnsi="Tahoma" w:cs="Tahoma"/>
            <w:bCs/>
            <w:sz w:val="20"/>
          </w:rPr>
          <w:t>https://www.ajpes.si/Bonitetne_storitve/S.BON_AJPES/Bonitetna_lestvica</w:t>
        </w:r>
      </w:hyperlink>
      <w:r w:rsidRPr="008209B6">
        <w:rPr>
          <w:rFonts w:ascii="Tahoma" w:hAnsi="Tahoma" w:cs="Tahoma"/>
          <w:bCs/>
          <w:sz w:val="20"/>
        </w:rPr>
        <w:t>) bonitetna ocena predstavlja razvrščanje gospodarskih subjektov glede na kreditna tveganja – po domače verjetnost za neplačila. Trenutno je povprečna ocena postavljena na SB7, zato je naročnik kot pogoj postavil malce ostrejšo zahtevo SB6 (vse v skladu z določbami 76. Člena ZJN-3). Naročnik tega pogoja ne bo spreminjal.</w:t>
      </w:r>
    </w:p>
    <w:p w:rsidR="008209B6" w:rsidRDefault="008209B6" w:rsidP="008209B6">
      <w:pPr>
        <w:keepNext/>
        <w:jc w:val="both"/>
        <w:rPr>
          <w:rFonts w:ascii="Tahoma" w:hAnsi="Tahoma" w:cs="Tahoma"/>
          <w:color w:val="FF0000"/>
          <w:sz w:val="20"/>
        </w:rPr>
      </w:pPr>
    </w:p>
    <w:p w:rsidR="00C1669B" w:rsidRPr="00FE5AF8" w:rsidRDefault="00C1669B"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C1669B" w:rsidRDefault="00C1669B" w:rsidP="008209B6">
      <w:pPr>
        <w:keepNext/>
        <w:tabs>
          <w:tab w:val="left" w:pos="8505"/>
        </w:tabs>
        <w:rPr>
          <w:rFonts w:ascii="Tahoma" w:hAnsi="Tahoma" w:cs="Tahoma"/>
          <w:bCs/>
          <w:sz w:val="20"/>
        </w:rPr>
      </w:pPr>
      <w:r w:rsidRPr="008209B6">
        <w:rPr>
          <w:rFonts w:ascii="Tahoma" w:hAnsi="Tahoma" w:cs="Tahoma"/>
          <w:bCs/>
          <w:sz w:val="20"/>
        </w:rPr>
        <w:t>Spoštovani,</w:t>
      </w:r>
      <w:r w:rsidRPr="008209B6">
        <w:rPr>
          <w:rFonts w:ascii="Tahoma" w:hAnsi="Tahoma" w:cs="Tahoma"/>
          <w:bCs/>
          <w:sz w:val="20"/>
        </w:rPr>
        <w:br/>
        <w:t>prosimo vas za objavo projektne dokumentacije.</w:t>
      </w:r>
      <w:r w:rsidRPr="008209B6">
        <w:rPr>
          <w:rFonts w:ascii="Tahoma" w:hAnsi="Tahoma" w:cs="Tahoma"/>
          <w:bCs/>
          <w:sz w:val="20"/>
        </w:rPr>
        <w:br/>
        <w:t>lep pozdrav</w:t>
      </w:r>
    </w:p>
    <w:p w:rsidR="00C1669B" w:rsidRDefault="00C1669B"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7A15EB" w:rsidRPr="007A15EB" w:rsidRDefault="008209B6" w:rsidP="007A15EB">
      <w:pPr>
        <w:keepNext/>
        <w:tabs>
          <w:tab w:val="left" w:pos="8505"/>
        </w:tabs>
        <w:rPr>
          <w:rFonts w:ascii="Tahoma" w:hAnsi="Tahoma" w:cs="Tahoma"/>
          <w:bCs/>
          <w:sz w:val="20"/>
        </w:rPr>
      </w:pPr>
      <w:r w:rsidRPr="007A15EB">
        <w:rPr>
          <w:rFonts w:ascii="Tahoma" w:hAnsi="Tahoma" w:cs="Tahoma"/>
          <w:bCs/>
          <w:sz w:val="20"/>
        </w:rPr>
        <w:t>Naročnik projektne dokumentacije zaradi obsežnosti ne bo objavil in bo vsem zainteresiranim ponudnikom na vpogled na JP VO-KA SNAGA</w:t>
      </w:r>
      <w:r w:rsidR="007A15EB" w:rsidRPr="007A15EB">
        <w:rPr>
          <w:rFonts w:ascii="Tahoma" w:hAnsi="Tahoma" w:cs="Tahoma"/>
          <w:bCs/>
          <w:sz w:val="20"/>
        </w:rPr>
        <w:t xml:space="preserve">, katere ogled je možen na podlagi predhodnega dogovora s kontaktno osebo. </w:t>
      </w:r>
    </w:p>
    <w:p w:rsidR="007A15EB" w:rsidRPr="007A15EB" w:rsidRDefault="007A15EB" w:rsidP="007A15EB">
      <w:pPr>
        <w:keepNext/>
        <w:tabs>
          <w:tab w:val="left" w:pos="8505"/>
        </w:tabs>
        <w:rPr>
          <w:rFonts w:ascii="Tahoma" w:hAnsi="Tahoma" w:cs="Tahoma"/>
          <w:bCs/>
          <w:sz w:val="20"/>
        </w:rPr>
      </w:pPr>
    </w:p>
    <w:p w:rsidR="007A15EB" w:rsidRPr="007A15EB" w:rsidRDefault="007A15EB" w:rsidP="007A15EB">
      <w:pPr>
        <w:keepNext/>
        <w:tabs>
          <w:tab w:val="left" w:pos="8505"/>
        </w:tabs>
        <w:rPr>
          <w:rFonts w:ascii="Tahoma" w:hAnsi="Tahoma" w:cs="Tahoma"/>
          <w:bCs/>
          <w:sz w:val="20"/>
        </w:rPr>
      </w:pPr>
      <w:r w:rsidRPr="007A15EB">
        <w:rPr>
          <w:rFonts w:ascii="Tahoma" w:hAnsi="Tahoma" w:cs="Tahoma"/>
          <w:bCs/>
          <w:sz w:val="20"/>
        </w:rPr>
        <w:t xml:space="preserve">Kontaktna oseba: Dominik Dežman; elektronska pošta: </w:t>
      </w:r>
      <w:hyperlink r:id="rId10" w:history="1">
        <w:r w:rsidRPr="007A15EB">
          <w:rPr>
            <w:sz w:val="20"/>
          </w:rPr>
          <w:t>dominik.dezman@vokasnaga.si</w:t>
        </w:r>
      </w:hyperlink>
      <w:r w:rsidRPr="007A15EB">
        <w:rPr>
          <w:rFonts w:ascii="Tahoma" w:hAnsi="Tahoma" w:cs="Tahoma"/>
          <w:bCs/>
          <w:sz w:val="20"/>
        </w:rPr>
        <w:t>; tel.: 01/58 08 331 oz. 041 377 513.</w:t>
      </w:r>
    </w:p>
    <w:p w:rsidR="008209B6" w:rsidRPr="008209B6" w:rsidRDefault="008209B6" w:rsidP="008209B6">
      <w:pPr>
        <w:keepNext/>
        <w:tabs>
          <w:tab w:val="left" w:pos="8505"/>
        </w:tabs>
        <w:rPr>
          <w:rFonts w:ascii="Tahoma" w:hAnsi="Tahoma" w:cs="Tahoma"/>
          <w:bCs/>
          <w:sz w:val="20"/>
        </w:rPr>
      </w:pPr>
    </w:p>
    <w:p w:rsidR="00C1669B" w:rsidRPr="00FE5AF8" w:rsidRDefault="00C1669B"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C1669B" w:rsidRDefault="00C1669B" w:rsidP="008209B6">
      <w:pPr>
        <w:keepNext/>
        <w:tabs>
          <w:tab w:val="left" w:pos="8505"/>
        </w:tabs>
        <w:rPr>
          <w:rFonts w:ascii="Tahoma" w:hAnsi="Tahoma" w:cs="Tahoma"/>
          <w:bCs/>
          <w:sz w:val="20"/>
        </w:rPr>
      </w:pPr>
      <w:r w:rsidRPr="008209B6">
        <w:rPr>
          <w:rFonts w:ascii="Tahoma" w:hAnsi="Tahoma" w:cs="Tahoma"/>
          <w:bCs/>
          <w:sz w:val="20"/>
        </w:rPr>
        <w:t>Spoštovani,</w:t>
      </w:r>
      <w:r w:rsidRPr="008209B6">
        <w:rPr>
          <w:rFonts w:ascii="Tahoma" w:hAnsi="Tahoma" w:cs="Tahoma"/>
          <w:bCs/>
          <w:sz w:val="20"/>
        </w:rPr>
        <w:br/>
        <w:t xml:space="preserve">prosimo vas za bolj </w:t>
      </w:r>
      <w:proofErr w:type="spellStart"/>
      <w:r w:rsidRPr="008209B6">
        <w:rPr>
          <w:rFonts w:ascii="Tahoma" w:hAnsi="Tahoma" w:cs="Tahoma"/>
          <w:bCs/>
          <w:sz w:val="20"/>
        </w:rPr>
        <w:t>detajln</w:t>
      </w:r>
      <w:proofErr w:type="spellEnd"/>
      <w:r w:rsidRPr="008209B6">
        <w:rPr>
          <w:rFonts w:ascii="Tahoma" w:hAnsi="Tahoma" w:cs="Tahoma"/>
          <w:bCs/>
          <w:sz w:val="20"/>
        </w:rPr>
        <w:t xml:space="preserve"> opis izvedbo pilotov CFA in sicer navedite količino potrebne armature ter objavite projektno dokumentacijo.</w:t>
      </w:r>
      <w:r w:rsidRPr="008209B6">
        <w:rPr>
          <w:rFonts w:ascii="Tahoma" w:hAnsi="Tahoma" w:cs="Tahoma"/>
          <w:bCs/>
          <w:sz w:val="20"/>
        </w:rPr>
        <w:br/>
      </w:r>
      <w:proofErr w:type="spellStart"/>
      <w:r w:rsidRPr="008209B6">
        <w:rPr>
          <w:rFonts w:ascii="Tahoma" w:hAnsi="Tahoma" w:cs="Tahoma"/>
          <w:bCs/>
          <w:sz w:val="20"/>
        </w:rPr>
        <w:t>lp</w:t>
      </w:r>
      <w:proofErr w:type="spellEnd"/>
    </w:p>
    <w:p w:rsidR="00C1669B" w:rsidRDefault="00C1669B"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7A15EB" w:rsidRPr="007A15EB" w:rsidRDefault="008209B6" w:rsidP="007A15EB">
      <w:pPr>
        <w:keepNext/>
        <w:tabs>
          <w:tab w:val="left" w:pos="8505"/>
        </w:tabs>
        <w:rPr>
          <w:rFonts w:ascii="Tahoma" w:hAnsi="Tahoma" w:cs="Tahoma"/>
          <w:bCs/>
          <w:sz w:val="20"/>
        </w:rPr>
      </w:pPr>
      <w:r w:rsidRPr="007A15EB">
        <w:rPr>
          <w:rFonts w:ascii="Tahoma" w:hAnsi="Tahoma" w:cs="Tahoma"/>
          <w:bCs/>
          <w:sz w:val="20"/>
        </w:rPr>
        <w:t>Detajlni opis je razviden v projektni dokumentaciji. Projektna dokumentacija bo na vpogled na JP VO-KA SNAGA</w:t>
      </w:r>
      <w:r w:rsidR="007A15EB" w:rsidRPr="007A15EB">
        <w:rPr>
          <w:rFonts w:ascii="Tahoma" w:hAnsi="Tahoma" w:cs="Tahoma"/>
          <w:bCs/>
          <w:sz w:val="20"/>
        </w:rPr>
        <w:t xml:space="preserve">, katere ogled je možen na podlagi predhodnega dogovora s kontaktno osebo. </w:t>
      </w:r>
    </w:p>
    <w:p w:rsidR="007A15EB" w:rsidRPr="007A15EB" w:rsidRDefault="007A15EB" w:rsidP="007A15EB">
      <w:pPr>
        <w:keepNext/>
        <w:tabs>
          <w:tab w:val="left" w:pos="8505"/>
        </w:tabs>
        <w:rPr>
          <w:rFonts w:ascii="Tahoma" w:hAnsi="Tahoma" w:cs="Tahoma"/>
          <w:bCs/>
          <w:sz w:val="20"/>
        </w:rPr>
      </w:pPr>
    </w:p>
    <w:p w:rsidR="007A15EB" w:rsidRPr="007A15EB" w:rsidRDefault="007A15EB" w:rsidP="007A15EB">
      <w:pPr>
        <w:keepNext/>
        <w:tabs>
          <w:tab w:val="left" w:pos="8505"/>
        </w:tabs>
        <w:rPr>
          <w:rFonts w:ascii="Tahoma" w:hAnsi="Tahoma" w:cs="Tahoma"/>
          <w:bCs/>
          <w:sz w:val="20"/>
        </w:rPr>
      </w:pPr>
      <w:r w:rsidRPr="007A15EB">
        <w:rPr>
          <w:rFonts w:ascii="Tahoma" w:hAnsi="Tahoma" w:cs="Tahoma"/>
          <w:bCs/>
          <w:sz w:val="20"/>
        </w:rPr>
        <w:t xml:space="preserve">Kontaktna oseba: Dominik Dežman; elektronska pošta: </w:t>
      </w:r>
      <w:hyperlink r:id="rId11" w:history="1">
        <w:r w:rsidRPr="007A15EB">
          <w:rPr>
            <w:sz w:val="20"/>
          </w:rPr>
          <w:t>dominik.dezman@vokasnaga.si</w:t>
        </w:r>
      </w:hyperlink>
      <w:r w:rsidRPr="007A15EB">
        <w:rPr>
          <w:rFonts w:ascii="Tahoma" w:hAnsi="Tahoma" w:cs="Tahoma"/>
          <w:bCs/>
          <w:sz w:val="20"/>
        </w:rPr>
        <w:t>; tel.: 01/58 08 331 oz. 041 377 513.</w:t>
      </w:r>
    </w:p>
    <w:p w:rsidR="00C1669B" w:rsidRPr="00FE5AF8" w:rsidRDefault="00C1669B"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C1669B" w:rsidRDefault="00C1669B" w:rsidP="008209B6">
      <w:pPr>
        <w:keepNext/>
        <w:tabs>
          <w:tab w:val="left" w:pos="8505"/>
        </w:tabs>
        <w:rPr>
          <w:rFonts w:ascii="Tahoma" w:hAnsi="Tahoma" w:cs="Tahoma"/>
          <w:bCs/>
          <w:sz w:val="20"/>
        </w:rPr>
      </w:pPr>
      <w:r w:rsidRPr="008209B6">
        <w:rPr>
          <w:rFonts w:ascii="Tahoma" w:hAnsi="Tahoma" w:cs="Tahoma"/>
          <w:bCs/>
          <w:sz w:val="20"/>
        </w:rPr>
        <w:t>Spoštovani,</w:t>
      </w:r>
      <w:r w:rsidRPr="008209B6">
        <w:rPr>
          <w:rFonts w:ascii="Tahoma" w:hAnsi="Tahoma" w:cs="Tahoma"/>
          <w:bCs/>
          <w:sz w:val="20"/>
        </w:rPr>
        <w:br/>
        <w:t>prosimo vas za objavo detajlov bivalnih kontejnerjev.</w:t>
      </w:r>
      <w:r w:rsidRPr="008209B6">
        <w:rPr>
          <w:rFonts w:ascii="Tahoma" w:hAnsi="Tahoma" w:cs="Tahoma"/>
          <w:bCs/>
          <w:sz w:val="20"/>
        </w:rPr>
        <w:br/>
        <w:t>lep pozdrav</w:t>
      </w:r>
    </w:p>
    <w:p w:rsidR="00C1669B" w:rsidRDefault="00C1669B"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7A15EB" w:rsidRPr="007A15EB" w:rsidRDefault="008209B6" w:rsidP="007A15EB">
      <w:pPr>
        <w:keepNext/>
        <w:tabs>
          <w:tab w:val="left" w:pos="8505"/>
        </w:tabs>
        <w:rPr>
          <w:rFonts w:ascii="Tahoma" w:hAnsi="Tahoma" w:cs="Tahoma"/>
          <w:bCs/>
          <w:sz w:val="20"/>
        </w:rPr>
      </w:pPr>
      <w:r w:rsidRPr="007A15EB">
        <w:rPr>
          <w:rFonts w:ascii="Tahoma" w:hAnsi="Tahoma" w:cs="Tahoma"/>
          <w:bCs/>
          <w:sz w:val="20"/>
        </w:rPr>
        <w:t>Detajlni opis je razviden v projektni dokumentaciji. Projektna dokumentacija bo na vpogled na JP VO-KA SNAGA</w:t>
      </w:r>
      <w:r w:rsidR="007A15EB" w:rsidRPr="007A15EB">
        <w:rPr>
          <w:rFonts w:ascii="Tahoma" w:hAnsi="Tahoma" w:cs="Tahoma"/>
          <w:bCs/>
          <w:sz w:val="20"/>
        </w:rPr>
        <w:t xml:space="preserve">, katere ogled je možen na podlagi predhodnega dogovora s kontaktno osebo. </w:t>
      </w:r>
    </w:p>
    <w:p w:rsidR="007A15EB" w:rsidRPr="007A15EB" w:rsidRDefault="007A15EB" w:rsidP="007A15EB">
      <w:pPr>
        <w:keepNext/>
        <w:tabs>
          <w:tab w:val="left" w:pos="8505"/>
        </w:tabs>
        <w:rPr>
          <w:rFonts w:ascii="Tahoma" w:hAnsi="Tahoma" w:cs="Tahoma"/>
          <w:bCs/>
          <w:sz w:val="20"/>
        </w:rPr>
      </w:pPr>
    </w:p>
    <w:p w:rsidR="007A15EB" w:rsidRPr="007A15EB" w:rsidRDefault="007A15EB" w:rsidP="007A15EB">
      <w:pPr>
        <w:keepNext/>
        <w:tabs>
          <w:tab w:val="left" w:pos="8505"/>
        </w:tabs>
        <w:rPr>
          <w:rFonts w:ascii="Tahoma" w:hAnsi="Tahoma" w:cs="Tahoma"/>
          <w:bCs/>
          <w:sz w:val="20"/>
        </w:rPr>
      </w:pPr>
      <w:r w:rsidRPr="007A15EB">
        <w:rPr>
          <w:rFonts w:ascii="Tahoma" w:hAnsi="Tahoma" w:cs="Tahoma"/>
          <w:bCs/>
          <w:sz w:val="20"/>
        </w:rPr>
        <w:t xml:space="preserve">Kontaktna oseba: Dominik Dežman; elektronska pošta: </w:t>
      </w:r>
      <w:hyperlink r:id="rId12" w:history="1">
        <w:r w:rsidRPr="007A15EB">
          <w:rPr>
            <w:sz w:val="20"/>
          </w:rPr>
          <w:t>dominik.dezman@vokasnaga.si</w:t>
        </w:r>
      </w:hyperlink>
      <w:r w:rsidRPr="007A15EB">
        <w:rPr>
          <w:rFonts w:ascii="Tahoma" w:hAnsi="Tahoma" w:cs="Tahoma"/>
          <w:bCs/>
          <w:sz w:val="20"/>
        </w:rPr>
        <w:t>; tel.: 01/58 08 331 oz. 041 377 513.</w:t>
      </w:r>
    </w:p>
    <w:p w:rsidR="008209B6" w:rsidRPr="008209B6" w:rsidRDefault="008209B6" w:rsidP="008209B6">
      <w:pPr>
        <w:keepNext/>
        <w:tabs>
          <w:tab w:val="left" w:pos="8505"/>
        </w:tabs>
        <w:rPr>
          <w:rFonts w:ascii="Tahoma" w:hAnsi="Tahoma" w:cs="Tahoma"/>
          <w:bCs/>
          <w:sz w:val="20"/>
          <w:highlight w:val="yellow"/>
        </w:rPr>
      </w:pPr>
    </w:p>
    <w:p w:rsidR="00C1669B" w:rsidRPr="00FE5AF8" w:rsidRDefault="00C1669B" w:rsidP="008209B6">
      <w:pPr>
        <w:keepNext/>
        <w:jc w:val="both"/>
        <w:rPr>
          <w:rFonts w:ascii="Tahoma" w:hAnsi="Tahoma" w:cs="Tahoma"/>
          <w:color w:val="FF0000"/>
          <w:sz w:val="20"/>
        </w:rPr>
      </w:pPr>
      <w:r w:rsidRPr="00FE5AF8">
        <w:rPr>
          <w:rFonts w:ascii="Tahoma" w:hAnsi="Tahoma" w:cs="Tahoma"/>
          <w:color w:val="FF0000"/>
          <w:sz w:val="20"/>
        </w:rPr>
        <w:t xml:space="preserve">VPRAŠANJE: </w:t>
      </w:r>
    </w:p>
    <w:p w:rsidR="00C1669B" w:rsidRDefault="00C1669B" w:rsidP="008209B6">
      <w:pPr>
        <w:keepNext/>
        <w:tabs>
          <w:tab w:val="left" w:pos="8505"/>
        </w:tabs>
        <w:rPr>
          <w:rFonts w:ascii="Tahoma" w:hAnsi="Tahoma" w:cs="Tahoma"/>
          <w:bCs/>
          <w:sz w:val="20"/>
        </w:rPr>
      </w:pPr>
      <w:r w:rsidRPr="008209B6">
        <w:rPr>
          <w:rFonts w:ascii="Tahoma" w:hAnsi="Tahoma" w:cs="Tahoma"/>
          <w:bCs/>
          <w:sz w:val="20"/>
        </w:rPr>
        <w:t>Spoštovani,</w:t>
      </w:r>
      <w:r w:rsidRPr="008209B6">
        <w:rPr>
          <w:rFonts w:ascii="Tahoma" w:hAnsi="Tahoma" w:cs="Tahoma"/>
          <w:bCs/>
          <w:sz w:val="20"/>
        </w:rPr>
        <w:br/>
        <w:t xml:space="preserve">predmet javnega naročila vključuje 14 območij za ODVAJANJE IN ČIŠČENJE ODPADNE VODE NA OBMOČJU VODONOSNIKA LJUBLJANSKEGA POLJA </w:t>
      </w:r>
      <w:r w:rsidRPr="008209B6">
        <w:rPr>
          <w:rFonts w:ascii="Tahoma" w:hAnsi="Tahoma" w:cs="Tahoma"/>
          <w:bCs/>
          <w:sz w:val="20"/>
        </w:rPr>
        <w:br/>
        <w:t xml:space="preserve">DEL </w:t>
      </w:r>
      <w:proofErr w:type="spellStart"/>
      <w:r w:rsidRPr="008209B6">
        <w:rPr>
          <w:rFonts w:ascii="Tahoma" w:hAnsi="Tahoma" w:cs="Tahoma"/>
          <w:bCs/>
          <w:sz w:val="20"/>
        </w:rPr>
        <w:t>3.Predračun</w:t>
      </w:r>
      <w:proofErr w:type="spellEnd"/>
      <w:r w:rsidRPr="008209B6">
        <w:rPr>
          <w:rFonts w:ascii="Tahoma" w:hAnsi="Tahoma" w:cs="Tahoma"/>
          <w:bCs/>
          <w:sz w:val="20"/>
        </w:rPr>
        <w:t xml:space="preserve"> je sestavljen na osnovi enotnega cenika za vsa območja.</w:t>
      </w:r>
      <w:r w:rsidRPr="008209B6">
        <w:rPr>
          <w:rFonts w:ascii="Tahoma" w:hAnsi="Tahoma" w:cs="Tahoma"/>
          <w:bCs/>
          <w:sz w:val="20"/>
        </w:rPr>
        <w:br/>
        <w:t>Sprašujemo vas, kako naj upoštevamo različne transportne razdalje virov (npr. gramoza) , ki se do posameznih območij lahko zelo razlikujejo.</w:t>
      </w:r>
      <w:r w:rsidRPr="008209B6">
        <w:rPr>
          <w:rFonts w:ascii="Tahoma" w:hAnsi="Tahoma" w:cs="Tahoma"/>
          <w:bCs/>
          <w:sz w:val="20"/>
        </w:rPr>
        <w:br/>
        <w:t>Hvala!</w:t>
      </w:r>
    </w:p>
    <w:p w:rsidR="00C1669B" w:rsidRDefault="00C1669B" w:rsidP="008209B6">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8209B6" w:rsidRPr="007A15EB" w:rsidRDefault="008209B6" w:rsidP="008209B6">
      <w:pPr>
        <w:keepNext/>
        <w:tabs>
          <w:tab w:val="left" w:pos="8505"/>
        </w:tabs>
        <w:rPr>
          <w:rFonts w:ascii="Tahoma" w:hAnsi="Tahoma" w:cs="Tahoma"/>
          <w:bCs/>
          <w:sz w:val="20"/>
        </w:rPr>
      </w:pPr>
      <w:r w:rsidRPr="007A15EB">
        <w:rPr>
          <w:rFonts w:ascii="Tahoma" w:hAnsi="Tahoma" w:cs="Tahoma"/>
          <w:bCs/>
          <w:sz w:val="20"/>
        </w:rPr>
        <w:t>Glede na to, da so znane lokacije gradbišč, naj se v postavke, kjer je zajet tudi prevoz ta strošek kot neko povprečje že vključi. Če ponudnikom povprečna cena ni sprejemljiva lahko po posameznih območjih vnesejo drugačne cene na enoto – popis v tem delu ni zaklenjen in ni nujno upoštevanje oziroma vnos cen preko enotnega cenika.</w:t>
      </w:r>
    </w:p>
    <w:p w:rsidR="00C1669B" w:rsidRDefault="00C1669B" w:rsidP="008209B6">
      <w:pPr>
        <w:keepNext/>
        <w:rPr>
          <w:rFonts w:ascii="Tahoma" w:hAnsi="Tahoma" w:cs="Tahoma"/>
          <w:bCs/>
          <w:sz w:val="20"/>
        </w:rPr>
      </w:pPr>
    </w:p>
    <w:p w:rsidR="00856BF6" w:rsidRDefault="00B8409C" w:rsidP="008209B6">
      <w:pPr>
        <w:keepNext/>
        <w:rPr>
          <w:rFonts w:ascii="Tahoma" w:hAnsi="Tahoma" w:cs="Tahoma"/>
          <w:bCs/>
          <w:sz w:val="20"/>
        </w:rPr>
      </w:pPr>
      <w:r w:rsidRPr="009F4FFF">
        <w:rPr>
          <w:rFonts w:ascii="Tahoma" w:hAnsi="Tahoma" w:cs="Tahoma"/>
          <w:bCs/>
          <w:sz w:val="20"/>
        </w:rPr>
        <w:t>Lepo pozdravljeni!</w:t>
      </w:r>
    </w:p>
    <w:p w:rsidR="001C7004" w:rsidRPr="009F4FFF" w:rsidRDefault="00B8409C" w:rsidP="008209B6">
      <w:pPr>
        <w:keepNext/>
        <w:rPr>
          <w:rFonts w:ascii="Tahoma" w:hAnsi="Tahoma" w:cs="Tahoma"/>
          <w:sz w:val="20"/>
        </w:rPr>
      </w:pPr>
      <w:r w:rsidRPr="009F4FFF">
        <w:rPr>
          <w:rFonts w:ascii="Tahoma" w:hAnsi="Tahoma" w:cs="Tahoma"/>
          <w:sz w:val="20"/>
        </w:rPr>
        <w:tab/>
      </w:r>
    </w:p>
    <w:p w:rsidR="00B8409C" w:rsidRPr="009F4FFF" w:rsidRDefault="00B8409C" w:rsidP="008209B6">
      <w:pPr>
        <w:keepNext/>
        <w:ind w:left="5387"/>
        <w:rPr>
          <w:rFonts w:ascii="Tahoma" w:hAnsi="Tahoma" w:cs="Tahoma"/>
          <w:sz w:val="20"/>
        </w:rPr>
      </w:pPr>
      <w:r w:rsidRPr="009F4FFF">
        <w:rPr>
          <w:rFonts w:ascii="Tahoma" w:hAnsi="Tahoma" w:cs="Tahoma"/>
          <w:sz w:val="20"/>
        </w:rPr>
        <w:t>JAVNI HOLDING Ljubljana, d.o.o.</w:t>
      </w:r>
    </w:p>
    <w:p w:rsidR="00FB07AA" w:rsidRDefault="00B8409C" w:rsidP="008209B6">
      <w:pPr>
        <w:keepNext/>
        <w:ind w:left="5387"/>
        <w:rPr>
          <w:rFonts w:ascii="Tahoma" w:hAnsi="Tahoma" w:cs="Tahoma"/>
          <w:sz w:val="20"/>
        </w:rPr>
      </w:pPr>
      <w:r w:rsidRPr="009F4FFF">
        <w:rPr>
          <w:rFonts w:ascii="Tahoma" w:hAnsi="Tahoma" w:cs="Tahoma"/>
          <w:sz w:val="20"/>
        </w:rPr>
        <w:t>Sektor za javna naročila</w:t>
      </w:r>
    </w:p>
    <w:p w:rsidR="00FB07AA" w:rsidRDefault="00FB07AA" w:rsidP="008209B6">
      <w:pPr>
        <w:keepNext/>
        <w:ind w:left="5387"/>
        <w:rPr>
          <w:rFonts w:ascii="Tahoma" w:hAnsi="Tahoma" w:cs="Tahoma"/>
          <w:sz w:val="20"/>
        </w:rPr>
      </w:pPr>
    </w:p>
    <w:sectPr w:rsidR="00FB07AA" w:rsidSect="00C400F0">
      <w:headerReference w:type="default" r:id="rId13"/>
      <w:footerReference w:type="default" r:id="rId14"/>
      <w:headerReference w:type="first" r:id="rId15"/>
      <w:footerReference w:type="first" r:id="rId16"/>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32" w:rsidRDefault="00222B32">
      <w:r>
        <w:separator/>
      </w:r>
    </w:p>
  </w:endnote>
  <w:endnote w:type="continuationSeparator" w:id="0">
    <w:p w:rsidR="00222B32" w:rsidRDefault="002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40BD3FF6" wp14:editId="374B9FAD">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117D6">
      <w:rPr>
        <w:noProof/>
        <w:sz w:val="16"/>
        <w:szCs w:val="16"/>
      </w:rPr>
      <w:t>3</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01928597" wp14:editId="6D1BB0A5">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32" w:rsidRDefault="00222B32">
      <w:r>
        <w:separator/>
      </w:r>
    </w:p>
  </w:footnote>
  <w:footnote w:type="continuationSeparator" w:id="0">
    <w:p w:rsidR="00222B32" w:rsidRDefault="00222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0FFAEAB5" wp14:editId="280AC892">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6B398B7C" wp14:editId="19A8F382">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7">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9">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2">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4">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8"/>
  </w:num>
  <w:num w:numId="5">
    <w:abstractNumId w:val="7"/>
  </w:num>
  <w:num w:numId="6">
    <w:abstractNumId w:val="1"/>
  </w:num>
  <w:num w:numId="7">
    <w:abstractNumId w:val="5"/>
  </w:num>
  <w:num w:numId="8">
    <w:abstractNumId w:val="9"/>
  </w:num>
  <w:num w:numId="9">
    <w:abstractNumId w:val="3"/>
  </w:num>
  <w:num w:numId="10">
    <w:abstractNumId w:val="4"/>
  </w:num>
  <w:num w:numId="11">
    <w:abstractNumId w:val="2"/>
  </w:num>
  <w:num w:numId="12">
    <w:abstractNumId w:val="10"/>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139C4"/>
    <w:rsid w:val="00023D89"/>
    <w:rsid w:val="000254CC"/>
    <w:rsid w:val="00037454"/>
    <w:rsid w:val="00041B42"/>
    <w:rsid w:val="000517FE"/>
    <w:rsid w:val="00075208"/>
    <w:rsid w:val="000930B2"/>
    <w:rsid w:val="000B5827"/>
    <w:rsid w:val="000B6B43"/>
    <w:rsid w:val="000D4BCF"/>
    <w:rsid w:val="00102EFB"/>
    <w:rsid w:val="0010611D"/>
    <w:rsid w:val="00110BC7"/>
    <w:rsid w:val="00110C57"/>
    <w:rsid w:val="001117D6"/>
    <w:rsid w:val="00130EEE"/>
    <w:rsid w:val="001376D1"/>
    <w:rsid w:val="00142135"/>
    <w:rsid w:val="00175FEC"/>
    <w:rsid w:val="001870F9"/>
    <w:rsid w:val="001A043C"/>
    <w:rsid w:val="001A33A4"/>
    <w:rsid w:val="001B2197"/>
    <w:rsid w:val="001B482F"/>
    <w:rsid w:val="001C238D"/>
    <w:rsid w:val="001C7004"/>
    <w:rsid w:val="001D4454"/>
    <w:rsid w:val="001E0C98"/>
    <w:rsid w:val="001E278D"/>
    <w:rsid w:val="001E3612"/>
    <w:rsid w:val="00222B32"/>
    <w:rsid w:val="00224FE4"/>
    <w:rsid w:val="00242234"/>
    <w:rsid w:val="0026294B"/>
    <w:rsid w:val="00284842"/>
    <w:rsid w:val="00285099"/>
    <w:rsid w:val="00291CD6"/>
    <w:rsid w:val="00292109"/>
    <w:rsid w:val="002B79EA"/>
    <w:rsid w:val="002C255A"/>
    <w:rsid w:val="002C5152"/>
    <w:rsid w:val="002D4294"/>
    <w:rsid w:val="002F08A1"/>
    <w:rsid w:val="002F2ED9"/>
    <w:rsid w:val="002F571C"/>
    <w:rsid w:val="00366A57"/>
    <w:rsid w:val="00366F2D"/>
    <w:rsid w:val="003731D5"/>
    <w:rsid w:val="00387F4F"/>
    <w:rsid w:val="0039059B"/>
    <w:rsid w:val="00391DD6"/>
    <w:rsid w:val="00396E64"/>
    <w:rsid w:val="003B0717"/>
    <w:rsid w:val="003B151C"/>
    <w:rsid w:val="003C5474"/>
    <w:rsid w:val="003C747C"/>
    <w:rsid w:val="003D4BEB"/>
    <w:rsid w:val="003F535B"/>
    <w:rsid w:val="003F60D5"/>
    <w:rsid w:val="003F65D3"/>
    <w:rsid w:val="004310C6"/>
    <w:rsid w:val="00437DBA"/>
    <w:rsid w:val="00450DB9"/>
    <w:rsid w:val="00451A99"/>
    <w:rsid w:val="0045541F"/>
    <w:rsid w:val="0047542C"/>
    <w:rsid w:val="004A38F0"/>
    <w:rsid w:val="004B0BE1"/>
    <w:rsid w:val="004D3E89"/>
    <w:rsid w:val="004D64A2"/>
    <w:rsid w:val="00527CAB"/>
    <w:rsid w:val="0053291B"/>
    <w:rsid w:val="00540009"/>
    <w:rsid w:val="0057721D"/>
    <w:rsid w:val="00577F0D"/>
    <w:rsid w:val="00583FEE"/>
    <w:rsid w:val="00597FE2"/>
    <w:rsid w:val="005C2DB5"/>
    <w:rsid w:val="005C2DB7"/>
    <w:rsid w:val="005D2112"/>
    <w:rsid w:val="005E7331"/>
    <w:rsid w:val="00600300"/>
    <w:rsid w:val="0062320B"/>
    <w:rsid w:val="00624A8F"/>
    <w:rsid w:val="0063781E"/>
    <w:rsid w:val="006527BA"/>
    <w:rsid w:val="00656773"/>
    <w:rsid w:val="006610A5"/>
    <w:rsid w:val="00665CA5"/>
    <w:rsid w:val="0069374F"/>
    <w:rsid w:val="006A7361"/>
    <w:rsid w:val="006B024F"/>
    <w:rsid w:val="006B1CF9"/>
    <w:rsid w:val="006B3868"/>
    <w:rsid w:val="006D186C"/>
    <w:rsid w:val="006E0CA1"/>
    <w:rsid w:val="006F22BA"/>
    <w:rsid w:val="006F3058"/>
    <w:rsid w:val="00711458"/>
    <w:rsid w:val="007159B1"/>
    <w:rsid w:val="00730049"/>
    <w:rsid w:val="00762732"/>
    <w:rsid w:val="00764CDA"/>
    <w:rsid w:val="007661F5"/>
    <w:rsid w:val="00766924"/>
    <w:rsid w:val="0077022A"/>
    <w:rsid w:val="007A15EB"/>
    <w:rsid w:val="007A258F"/>
    <w:rsid w:val="007B175D"/>
    <w:rsid w:val="007C494E"/>
    <w:rsid w:val="007E1A3B"/>
    <w:rsid w:val="007F0CFD"/>
    <w:rsid w:val="007F402F"/>
    <w:rsid w:val="008105EE"/>
    <w:rsid w:val="008209B6"/>
    <w:rsid w:val="00821F95"/>
    <w:rsid w:val="0084746F"/>
    <w:rsid w:val="00856BF6"/>
    <w:rsid w:val="00866368"/>
    <w:rsid w:val="00882B70"/>
    <w:rsid w:val="008878C9"/>
    <w:rsid w:val="008901E9"/>
    <w:rsid w:val="008940DF"/>
    <w:rsid w:val="0089450C"/>
    <w:rsid w:val="00894B8A"/>
    <w:rsid w:val="00897BDF"/>
    <w:rsid w:val="008A6582"/>
    <w:rsid w:val="008A71CD"/>
    <w:rsid w:val="008A7B4B"/>
    <w:rsid w:val="008A7E85"/>
    <w:rsid w:val="008B4F59"/>
    <w:rsid w:val="008B5186"/>
    <w:rsid w:val="008C5175"/>
    <w:rsid w:val="008C6040"/>
    <w:rsid w:val="008E5557"/>
    <w:rsid w:val="0090455C"/>
    <w:rsid w:val="0092040B"/>
    <w:rsid w:val="00927AAE"/>
    <w:rsid w:val="00931EA9"/>
    <w:rsid w:val="009328DB"/>
    <w:rsid w:val="0094583D"/>
    <w:rsid w:val="00962839"/>
    <w:rsid w:val="00981B37"/>
    <w:rsid w:val="0098200D"/>
    <w:rsid w:val="009843AA"/>
    <w:rsid w:val="00987755"/>
    <w:rsid w:val="00993435"/>
    <w:rsid w:val="009A3E80"/>
    <w:rsid w:val="009B3BE0"/>
    <w:rsid w:val="009B7791"/>
    <w:rsid w:val="009D10CB"/>
    <w:rsid w:val="009D2BDE"/>
    <w:rsid w:val="009F166F"/>
    <w:rsid w:val="009F4FFF"/>
    <w:rsid w:val="00A14412"/>
    <w:rsid w:val="00A36239"/>
    <w:rsid w:val="00A43E01"/>
    <w:rsid w:val="00A60869"/>
    <w:rsid w:val="00A65139"/>
    <w:rsid w:val="00A66477"/>
    <w:rsid w:val="00A67690"/>
    <w:rsid w:val="00A73BAE"/>
    <w:rsid w:val="00A905ED"/>
    <w:rsid w:val="00AB4DCC"/>
    <w:rsid w:val="00AC326A"/>
    <w:rsid w:val="00B24134"/>
    <w:rsid w:val="00B366C6"/>
    <w:rsid w:val="00B376D0"/>
    <w:rsid w:val="00B66D3B"/>
    <w:rsid w:val="00B70739"/>
    <w:rsid w:val="00B744D8"/>
    <w:rsid w:val="00B810C1"/>
    <w:rsid w:val="00B81112"/>
    <w:rsid w:val="00B8409C"/>
    <w:rsid w:val="00B941B6"/>
    <w:rsid w:val="00B95E5E"/>
    <w:rsid w:val="00BD476F"/>
    <w:rsid w:val="00BE4EA5"/>
    <w:rsid w:val="00C02F06"/>
    <w:rsid w:val="00C149B1"/>
    <w:rsid w:val="00C1669B"/>
    <w:rsid w:val="00C2057A"/>
    <w:rsid w:val="00C2152A"/>
    <w:rsid w:val="00C23200"/>
    <w:rsid w:val="00C31762"/>
    <w:rsid w:val="00C400F0"/>
    <w:rsid w:val="00C5370C"/>
    <w:rsid w:val="00C73A78"/>
    <w:rsid w:val="00CA4F0B"/>
    <w:rsid w:val="00CB065C"/>
    <w:rsid w:val="00CB702E"/>
    <w:rsid w:val="00CB77D3"/>
    <w:rsid w:val="00CE4D71"/>
    <w:rsid w:val="00CE79E6"/>
    <w:rsid w:val="00CF4117"/>
    <w:rsid w:val="00D03AF4"/>
    <w:rsid w:val="00D22D80"/>
    <w:rsid w:val="00D310AC"/>
    <w:rsid w:val="00D37B43"/>
    <w:rsid w:val="00D404E5"/>
    <w:rsid w:val="00D558BF"/>
    <w:rsid w:val="00D5592D"/>
    <w:rsid w:val="00D57FE9"/>
    <w:rsid w:val="00D62091"/>
    <w:rsid w:val="00D65ED9"/>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765E"/>
    <w:rsid w:val="00E5591D"/>
    <w:rsid w:val="00E60036"/>
    <w:rsid w:val="00E64E12"/>
    <w:rsid w:val="00E66AA0"/>
    <w:rsid w:val="00E762FD"/>
    <w:rsid w:val="00E91E08"/>
    <w:rsid w:val="00EB6411"/>
    <w:rsid w:val="00ED2035"/>
    <w:rsid w:val="00EE78E3"/>
    <w:rsid w:val="00F14403"/>
    <w:rsid w:val="00F5336C"/>
    <w:rsid w:val="00F543E6"/>
    <w:rsid w:val="00F6616E"/>
    <w:rsid w:val="00F759FD"/>
    <w:rsid w:val="00F801AD"/>
    <w:rsid w:val="00F81EDE"/>
    <w:rsid w:val="00F859FE"/>
    <w:rsid w:val="00F945FB"/>
    <w:rsid w:val="00FA1A43"/>
    <w:rsid w:val="00FA57FE"/>
    <w:rsid w:val="00FA5AE7"/>
    <w:rsid w:val="00FA7A34"/>
    <w:rsid w:val="00FB07AA"/>
    <w:rsid w:val="00FD2C60"/>
    <w:rsid w:val="00FD66F1"/>
    <w:rsid w:val="00FE5AF8"/>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76163330">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1517">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91083066">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5695240">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88760613">
      <w:bodyDiv w:val="1"/>
      <w:marLeft w:val="0"/>
      <w:marRight w:val="0"/>
      <w:marTop w:val="0"/>
      <w:marBottom w:val="0"/>
      <w:divBdr>
        <w:top w:val="none" w:sz="0" w:space="0" w:color="auto"/>
        <w:left w:val="none" w:sz="0" w:space="0" w:color="auto"/>
        <w:bottom w:val="none" w:sz="0" w:space="0" w:color="auto"/>
        <w:right w:val="none" w:sz="0" w:space="0" w:color="auto"/>
      </w:divBdr>
    </w:div>
    <w:div w:id="900795326">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79791059">
      <w:bodyDiv w:val="1"/>
      <w:marLeft w:val="0"/>
      <w:marRight w:val="0"/>
      <w:marTop w:val="0"/>
      <w:marBottom w:val="0"/>
      <w:divBdr>
        <w:top w:val="none" w:sz="0" w:space="0" w:color="auto"/>
        <w:left w:val="none" w:sz="0" w:space="0" w:color="auto"/>
        <w:bottom w:val="none" w:sz="0" w:space="0" w:color="auto"/>
        <w:right w:val="none" w:sz="0" w:space="0" w:color="auto"/>
      </w:divBdr>
    </w:div>
    <w:div w:id="1156611113">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511826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9693736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6951639">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99242769">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60563">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minik.dezman@vokasnag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inik.dezman@vokasnaga.s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ominik.dezman@vokasnaga.si" TargetMode="External"/><Relationship Id="rId4" Type="http://schemas.microsoft.com/office/2007/relationships/stylesWithEffects" Target="stylesWithEffects.xml"/><Relationship Id="rId9" Type="http://schemas.openxmlformats.org/officeDocument/2006/relationships/hyperlink" Target="https://www.ajpes.si/Bonitetne_storitve/S.BON_AJPES/Bonitetna_lestvi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AE91-2A9A-4676-AD16-D48BF619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1239</Words>
  <Characters>7067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6</cp:revision>
  <cp:lastPrinted>2018-03-02T13:07:00Z</cp:lastPrinted>
  <dcterms:created xsi:type="dcterms:W3CDTF">2019-07-22T08:58:00Z</dcterms:created>
  <dcterms:modified xsi:type="dcterms:W3CDTF">2019-07-24T11:36:00Z</dcterms:modified>
</cp:coreProperties>
</file>