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3456">
      <w:pPr>
        <w:keepNext/>
        <w:keepLines/>
        <w:rPr>
          <w:rFonts w:ascii="Tahoma" w:hAnsi="Tahoma" w:cs="Tahoma"/>
          <w:sz w:val="20"/>
          <w:lang w:val="en-US"/>
        </w:rPr>
      </w:pPr>
    </w:p>
    <w:p w:rsidR="00B8409C" w:rsidRPr="00072473" w:rsidRDefault="00B8409C" w:rsidP="000E3456">
      <w:pPr>
        <w:keepNext/>
        <w:keepLines/>
        <w:rPr>
          <w:rFonts w:ascii="Tahoma" w:hAnsi="Tahoma" w:cs="Tahoma"/>
          <w:sz w:val="20"/>
          <w:lang w:val="en-US"/>
        </w:rPr>
      </w:pPr>
      <w:r w:rsidRPr="00072473">
        <w:rPr>
          <w:rFonts w:ascii="Tahoma" w:hAnsi="Tahoma" w:cs="Tahoma"/>
          <w:sz w:val="20"/>
          <w:lang w:val="en-US"/>
        </w:rPr>
        <w:t xml:space="preserve">Datum: </w:t>
      </w:r>
      <w:r w:rsidR="00E73C9D">
        <w:rPr>
          <w:rFonts w:ascii="Tahoma" w:hAnsi="Tahoma" w:cs="Tahoma"/>
          <w:sz w:val="20"/>
          <w:lang w:val="en-US"/>
        </w:rPr>
        <w:t>6</w:t>
      </w:r>
      <w:r w:rsidR="00D57FE9" w:rsidRPr="00072473">
        <w:rPr>
          <w:rFonts w:ascii="Tahoma" w:hAnsi="Tahoma" w:cs="Tahoma"/>
          <w:sz w:val="20"/>
          <w:lang w:val="en-US"/>
        </w:rPr>
        <w:t>.</w:t>
      </w:r>
      <w:r w:rsidR="00BA1780">
        <w:rPr>
          <w:rFonts w:ascii="Tahoma" w:hAnsi="Tahoma" w:cs="Tahoma"/>
          <w:sz w:val="20"/>
          <w:lang w:val="en-US"/>
        </w:rPr>
        <w:t xml:space="preserve"> 10</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BA1780">
        <w:rPr>
          <w:rFonts w:ascii="Tahoma" w:hAnsi="Tahoma" w:cs="Tahoma"/>
          <w:sz w:val="20"/>
          <w:lang w:val="en-US"/>
        </w:rPr>
        <w:t>3</w:t>
      </w:r>
    </w:p>
    <w:p w:rsidR="00763D0C" w:rsidRPr="00072473" w:rsidRDefault="00763D0C" w:rsidP="000E3456">
      <w:pPr>
        <w:keepNext/>
        <w:keepLines/>
        <w:rPr>
          <w:rFonts w:ascii="Tahoma" w:hAnsi="Tahoma" w:cs="Tahoma"/>
          <w:sz w:val="20"/>
        </w:rPr>
      </w:pPr>
    </w:p>
    <w:p w:rsidR="00B8409C" w:rsidRPr="00072473" w:rsidRDefault="00B8409C" w:rsidP="000E3456">
      <w:pPr>
        <w:keepNext/>
        <w:keepLines/>
        <w:rPr>
          <w:rFonts w:ascii="Tahoma" w:hAnsi="Tahoma" w:cs="Tahoma"/>
          <w:sz w:val="20"/>
        </w:rPr>
      </w:pPr>
      <w:r w:rsidRPr="00072473">
        <w:rPr>
          <w:rFonts w:ascii="Tahoma" w:hAnsi="Tahoma" w:cs="Tahoma"/>
          <w:sz w:val="20"/>
        </w:rPr>
        <w:t>Spoštovani,</w:t>
      </w:r>
    </w:p>
    <w:p w:rsidR="00B8409C" w:rsidRPr="00072473" w:rsidRDefault="00B8409C" w:rsidP="000E3456">
      <w:pPr>
        <w:keepNext/>
        <w:keepLines/>
        <w:rPr>
          <w:rFonts w:ascii="Tahoma" w:hAnsi="Tahoma" w:cs="Tahoma"/>
          <w:sz w:val="20"/>
        </w:rPr>
      </w:pPr>
    </w:p>
    <w:p w:rsidR="00441F5B" w:rsidRPr="00072473" w:rsidRDefault="007C3B30" w:rsidP="000E3456">
      <w:pPr>
        <w:keepNext/>
        <w:keepLines/>
        <w:ind w:right="424"/>
        <w:jc w:val="both"/>
        <w:rPr>
          <w:rFonts w:ascii="Tahoma" w:hAnsi="Tahoma" w:cs="Tahoma"/>
          <w:b/>
          <w:bCs/>
          <w:sz w:val="20"/>
        </w:rPr>
      </w:pPr>
      <w:r w:rsidRPr="00072473">
        <w:rPr>
          <w:rFonts w:ascii="Tahoma" w:hAnsi="Tahoma" w:cs="Tahoma"/>
          <w:bCs/>
          <w:sz w:val="20"/>
        </w:rPr>
        <w:t>objavljamo odgovor</w:t>
      </w:r>
      <w:r w:rsidR="000E1266">
        <w:rPr>
          <w:rFonts w:ascii="Tahoma" w:hAnsi="Tahoma" w:cs="Tahoma"/>
          <w:bCs/>
          <w:sz w:val="20"/>
        </w:rPr>
        <w:t>e na vprašanja</w:t>
      </w:r>
      <w:r w:rsidR="001A53B9">
        <w:rPr>
          <w:rFonts w:ascii="Tahoma" w:hAnsi="Tahoma" w:cs="Tahoma"/>
          <w:bCs/>
          <w:sz w:val="20"/>
        </w:rPr>
        <w:t xml:space="preserve"> gospodarskega subjekta</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BA1780">
        <w:rPr>
          <w:rFonts w:ascii="Tahoma" w:hAnsi="Tahoma" w:cs="Tahoma"/>
          <w:b/>
          <w:bCs/>
          <w:sz w:val="20"/>
        </w:rPr>
        <w:t>15/23</w:t>
      </w:r>
      <w:r w:rsidR="00441F5B" w:rsidRPr="00072473">
        <w:rPr>
          <w:rFonts w:ascii="Tahoma" w:hAnsi="Tahoma" w:cs="Tahoma"/>
          <w:bCs/>
          <w:sz w:val="20"/>
        </w:rPr>
        <w:t xml:space="preserve"> </w:t>
      </w:r>
      <w:r w:rsidR="00BA1780">
        <w:rPr>
          <w:rFonts w:ascii="Tahoma" w:hAnsi="Tahoma" w:cs="Tahoma"/>
          <w:b/>
          <w:bCs/>
          <w:sz w:val="20"/>
        </w:rPr>
        <w:t>Izvajanje storitev zasebnega varovanja</w:t>
      </w:r>
      <w:r w:rsidR="000E1266">
        <w:rPr>
          <w:rFonts w:ascii="Tahoma" w:hAnsi="Tahoma" w:cs="Tahoma"/>
          <w:b/>
          <w:bCs/>
          <w:sz w:val="20"/>
        </w:rPr>
        <w:t xml:space="preserve">, </w:t>
      </w:r>
      <w:r w:rsidR="000E1266" w:rsidRPr="00F03146">
        <w:rPr>
          <w:rFonts w:ascii="Tahoma" w:hAnsi="Tahoma" w:cs="Tahoma"/>
          <w:bCs/>
          <w:sz w:val="20"/>
        </w:rPr>
        <w:t>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8D4AA0" w:rsidRPr="00072473" w:rsidRDefault="008D4AA0" w:rsidP="00A64B0B">
      <w:pPr>
        <w:keepNext/>
        <w:keepLines/>
        <w:jc w:val="both"/>
        <w:rPr>
          <w:rFonts w:ascii="Tahoma" w:hAnsi="Tahoma" w:cs="Tahoma"/>
          <w:bCs/>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00BA1780" w:rsidRPr="00BA1780">
        <w:rPr>
          <w:rFonts w:ascii="Helvetica" w:hAnsi="Helvetica" w:cs="Helvetica"/>
          <w:b/>
          <w:bCs/>
          <w:color w:val="333333"/>
          <w:sz w:val="21"/>
          <w:szCs w:val="21"/>
        </w:rPr>
        <w:t xml:space="preserve"> </w:t>
      </w:r>
      <w:r w:rsidR="007C2EC1">
        <w:rPr>
          <w:rFonts w:ascii="Helvetica" w:hAnsi="Helvetica" w:cs="Helvetica"/>
          <w:bCs/>
          <w:color w:val="FF0000"/>
          <w:sz w:val="21"/>
          <w:szCs w:val="21"/>
        </w:rPr>
        <w:t>Datum prejema: 05.10.2023   13:01</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V razpisni dokumentaciji v točki 3. Ugotavljanje sposobnosti, podtočka 3.3. Licence in certifikati, je v zadnji alineji, zadnji stavek navedeno, da mora ponudnik predložiti tudi potrdilo strokovnega nadzora (MNZ ali Zbornica za razvoj zasebnega varovanja) o ureditvi in delovanju varnostno nadzornega centra v skladu s standardom SIST BS 5979:2005.</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br/>
        <w:t>V Odredbi o določitvi standardov, ki so obvezni na področju zasebnega varovanja, z dne 16.3.2021 in sicer konkretno v Prilogi odredbe, je določeno, da je za VNC predpisan standard EN 50518. Navedeno je začelo veljati leta 2017, zato standard, ki ga navajate v razpisni dokumentaciji ni več veljaven in s tem tudi ni dovoljen.</w:t>
      </w:r>
    </w:p>
    <w:p w:rsidR="007C2EC1" w:rsidRPr="007C2EC1" w:rsidRDefault="007C2EC1" w:rsidP="007C2EC1">
      <w:pPr>
        <w:keepNext/>
        <w:keepLines/>
        <w:ind w:right="424"/>
        <w:jc w:val="both"/>
        <w:rPr>
          <w:rFonts w:ascii="Tahoma" w:hAnsi="Tahoma" w:cs="Tahoma"/>
          <w:bCs/>
          <w:sz w:val="20"/>
        </w:rPr>
      </w:pPr>
      <w:r w:rsidRPr="007C2EC1">
        <w:rPr>
          <w:rFonts w:ascii="Tahoma" w:hAnsi="Tahoma" w:cs="Tahoma"/>
          <w:bCs/>
          <w:sz w:val="20"/>
        </w:rPr>
        <w:br/>
        <w:t>Tako, da tu je potrebno namesto potrdila strokovnega nadzora (MNZ ali Zbornice za razvoj zasebnega varovanja) priložiti dokazilo akreditiranega evropskega laboratorija za oba varnostno nadzorna centra (glavni in nadomestni VNC), da delujeta v skladu s SIST EN 50518 ali mlajšim.</w:t>
      </w:r>
    </w:p>
    <w:p w:rsidR="007C2EC1" w:rsidRDefault="007C2EC1" w:rsidP="007C2EC1">
      <w:pPr>
        <w:keepNext/>
        <w:keepLines/>
        <w:ind w:right="425"/>
        <w:jc w:val="both"/>
        <w:rPr>
          <w:rFonts w:ascii="Tahoma" w:hAnsi="Tahoma" w:cs="Tahoma"/>
          <w:color w:val="00B050"/>
          <w:sz w:val="20"/>
        </w:rPr>
      </w:pPr>
    </w:p>
    <w:p w:rsidR="001A53B9" w:rsidRPr="005A7D63" w:rsidRDefault="001A53B9" w:rsidP="006075E0">
      <w:pPr>
        <w:keepNext/>
        <w:keepLines/>
        <w:spacing w:after="120"/>
        <w:ind w:right="425"/>
        <w:jc w:val="both"/>
        <w:rPr>
          <w:rFonts w:ascii="Tahoma" w:hAnsi="Tahoma" w:cs="Tahoma"/>
          <w:sz w:val="20"/>
        </w:rPr>
      </w:pPr>
      <w:r w:rsidRPr="00BB5784">
        <w:rPr>
          <w:rFonts w:ascii="Tahoma" w:hAnsi="Tahoma" w:cs="Tahoma"/>
          <w:color w:val="00B050"/>
          <w:sz w:val="20"/>
        </w:rPr>
        <w:t>ODGOVOR:</w:t>
      </w:r>
    </w:p>
    <w:p w:rsidR="00E73C9D" w:rsidRPr="00443FDC" w:rsidRDefault="007C2EC1" w:rsidP="00B219A9">
      <w:pPr>
        <w:keepNext/>
        <w:keepLines/>
        <w:ind w:right="424"/>
        <w:jc w:val="both"/>
        <w:rPr>
          <w:rFonts w:ascii="Tahoma" w:hAnsi="Tahoma" w:cs="Tahoma"/>
          <w:color w:val="00B050"/>
          <w:sz w:val="20"/>
        </w:rPr>
      </w:pPr>
      <w:r w:rsidRPr="00443FDC">
        <w:rPr>
          <w:rFonts w:ascii="Tahoma" w:hAnsi="Tahoma" w:cs="Tahoma"/>
          <w:color w:val="00B050"/>
          <w:sz w:val="20"/>
        </w:rPr>
        <w:t xml:space="preserve">Naročnik se gospodarskemu subjektu zahvaljuje za opozorilo. </w:t>
      </w:r>
      <w:r w:rsidR="00E73C9D" w:rsidRPr="00443FDC">
        <w:rPr>
          <w:rFonts w:ascii="Tahoma" w:hAnsi="Tahoma" w:cs="Tahoma"/>
          <w:bCs/>
          <w:color w:val="00B050"/>
          <w:sz w:val="20"/>
        </w:rPr>
        <w:t>Gospodarski subjekt mora k ponudbeni dokumentaciji, za subjekte, ki bodo zagotavljal</w:t>
      </w:r>
      <w:r w:rsidR="00163B62" w:rsidRPr="00443FDC">
        <w:rPr>
          <w:rFonts w:ascii="Tahoma" w:hAnsi="Tahoma" w:cs="Tahoma"/>
          <w:bCs/>
          <w:color w:val="00B050"/>
          <w:sz w:val="20"/>
        </w:rPr>
        <w:t>i</w:t>
      </w:r>
      <w:r w:rsidR="00E73C9D" w:rsidRPr="00443FDC">
        <w:rPr>
          <w:rFonts w:ascii="Tahoma" w:hAnsi="Tahoma" w:cs="Tahoma"/>
          <w:bCs/>
          <w:color w:val="00B050"/>
          <w:sz w:val="20"/>
        </w:rPr>
        <w:t xml:space="preserve"> glavni ali nadomestni (rezervni) VNC, predložiti dokazilo akreditiranega evropskega laboratorija za oba varnostno nadzorna centra (glavni in nadomestni VNC), da delujeta v skladu s SIST EN 50518 ali mlajšim.</w:t>
      </w:r>
    </w:p>
    <w:p w:rsidR="00163B62" w:rsidRPr="00443FDC" w:rsidRDefault="00163B62" w:rsidP="00163B62">
      <w:pPr>
        <w:keepNext/>
        <w:keepLines/>
        <w:ind w:right="424"/>
        <w:jc w:val="both"/>
        <w:rPr>
          <w:rFonts w:ascii="Tahoma" w:hAnsi="Tahoma" w:cs="Tahoma"/>
          <w:bCs/>
          <w:sz w:val="20"/>
        </w:rPr>
      </w:pPr>
    </w:p>
    <w:p w:rsidR="004E3A0F" w:rsidRPr="00443FDC" w:rsidRDefault="00B219A9" w:rsidP="00163B62">
      <w:pPr>
        <w:keepNext/>
        <w:keepLines/>
        <w:ind w:right="424"/>
        <w:jc w:val="both"/>
        <w:rPr>
          <w:rFonts w:ascii="Tahoma" w:hAnsi="Tahoma" w:cs="Tahoma"/>
          <w:bCs/>
          <w:color w:val="00B050"/>
          <w:sz w:val="20"/>
        </w:rPr>
      </w:pPr>
      <w:r w:rsidRPr="00443FDC">
        <w:rPr>
          <w:rFonts w:ascii="Tahoma" w:hAnsi="Tahoma" w:cs="Tahoma"/>
          <w:bCs/>
          <w:color w:val="00B050"/>
          <w:sz w:val="20"/>
        </w:rPr>
        <w:t>Na podlagi navedenega naročnik</w:t>
      </w:r>
      <w:r w:rsidR="00163B62" w:rsidRPr="00443FDC">
        <w:rPr>
          <w:rFonts w:ascii="Tahoma" w:hAnsi="Tahoma" w:cs="Tahoma"/>
          <w:bCs/>
          <w:color w:val="00B050"/>
          <w:sz w:val="20"/>
        </w:rPr>
        <w:t xml:space="preserve"> spreminja razpisno dokumentacijo na način, da se celotno besedilo </w:t>
      </w:r>
    </w:p>
    <w:p w:rsidR="00163B62" w:rsidRPr="00443FDC" w:rsidRDefault="004E3A0F" w:rsidP="00163B62">
      <w:pPr>
        <w:keepNext/>
        <w:keepLines/>
        <w:ind w:right="424"/>
        <w:jc w:val="both"/>
        <w:rPr>
          <w:rFonts w:ascii="Tahoma" w:hAnsi="Tahoma" w:cs="Tahoma"/>
          <w:bCs/>
          <w:color w:val="00B050"/>
          <w:sz w:val="20"/>
        </w:rPr>
      </w:pPr>
      <w:r w:rsidRPr="00443FDC">
        <w:rPr>
          <w:rFonts w:ascii="Tahoma" w:hAnsi="Tahoma" w:cs="Tahoma"/>
          <w:bCs/>
          <w:color w:val="00B050"/>
          <w:sz w:val="20"/>
        </w:rPr>
        <w:t xml:space="preserve">v točki 3.2.1. Ustreznost za opravljanje poklicne dejavnosti (velja za vse </w:t>
      </w:r>
      <w:r w:rsidR="00CF14B3" w:rsidRPr="00443FDC">
        <w:rPr>
          <w:rFonts w:ascii="Tahoma" w:hAnsi="Tahoma" w:cs="Tahoma"/>
          <w:bCs/>
          <w:color w:val="00B050"/>
          <w:sz w:val="20"/>
        </w:rPr>
        <w:t xml:space="preserve">sklope) </w:t>
      </w:r>
      <w:r w:rsidRPr="00443FDC">
        <w:rPr>
          <w:rFonts w:ascii="Tahoma" w:hAnsi="Tahoma" w:cs="Tahoma"/>
          <w:bCs/>
          <w:color w:val="00B050"/>
          <w:sz w:val="20"/>
        </w:rPr>
        <w:t xml:space="preserve">razpisne dokumentacije, </w:t>
      </w:r>
      <w:r w:rsidR="00792EB1" w:rsidRPr="00443FDC">
        <w:rPr>
          <w:rFonts w:ascii="Tahoma" w:hAnsi="Tahoma" w:cs="Tahoma"/>
          <w:bCs/>
          <w:color w:val="00B050"/>
          <w:sz w:val="20"/>
        </w:rPr>
        <w:t xml:space="preserve">in sicer besedilo </w:t>
      </w:r>
      <w:r w:rsidRPr="00443FDC">
        <w:rPr>
          <w:rFonts w:ascii="Tahoma" w:hAnsi="Tahoma" w:cs="Tahoma"/>
          <w:bCs/>
          <w:color w:val="00B050"/>
          <w:sz w:val="20"/>
        </w:rPr>
        <w:t xml:space="preserve">v </w:t>
      </w:r>
      <w:r w:rsidR="00CF14B3" w:rsidRPr="00443FDC">
        <w:rPr>
          <w:rFonts w:ascii="Tahoma" w:hAnsi="Tahoma" w:cs="Tahoma"/>
          <w:bCs/>
          <w:color w:val="00B050"/>
          <w:sz w:val="20"/>
        </w:rPr>
        <w:t>šesti</w:t>
      </w:r>
      <w:r w:rsidRPr="00443FDC">
        <w:rPr>
          <w:rFonts w:ascii="Tahoma" w:hAnsi="Tahoma" w:cs="Tahoma"/>
          <w:bCs/>
          <w:color w:val="00B050"/>
          <w:sz w:val="20"/>
        </w:rPr>
        <w:t xml:space="preserve"> alineji podtočke 3 Licence in certifikati (v skladu s tehničnim opisom predmeta naročila za posamezni sklop)</w:t>
      </w:r>
      <w:r w:rsidR="00052233" w:rsidRPr="00443FDC">
        <w:rPr>
          <w:rFonts w:ascii="Tahoma" w:hAnsi="Tahoma" w:cs="Tahoma"/>
          <w:bCs/>
          <w:color w:val="00B050"/>
          <w:sz w:val="20"/>
        </w:rPr>
        <w:t>,</w:t>
      </w:r>
      <w:r w:rsidR="00163B62" w:rsidRPr="00443FDC">
        <w:rPr>
          <w:rFonts w:ascii="Tahoma" w:hAnsi="Tahoma" w:cs="Tahoma"/>
          <w:bCs/>
          <w:color w:val="00B050"/>
          <w:sz w:val="20"/>
        </w:rPr>
        <w:t xml:space="preserve"> po spremembi glasi: </w:t>
      </w:r>
    </w:p>
    <w:p w:rsidR="00163B62" w:rsidRPr="00443FDC" w:rsidRDefault="00163B62" w:rsidP="00E73C9D">
      <w:pPr>
        <w:keepNext/>
        <w:keepLines/>
        <w:ind w:right="424"/>
        <w:jc w:val="both"/>
        <w:rPr>
          <w:rFonts w:ascii="Tahoma" w:hAnsi="Tahoma" w:cs="Tahoma"/>
          <w:bCs/>
          <w:color w:val="00B050"/>
          <w:sz w:val="20"/>
        </w:rPr>
      </w:pPr>
    </w:p>
    <w:p w:rsidR="00163B62" w:rsidRPr="00443FDC" w:rsidRDefault="001A7ED0" w:rsidP="0025762F">
      <w:pPr>
        <w:keepNext/>
        <w:keepLines/>
        <w:numPr>
          <w:ilvl w:val="0"/>
          <w:numId w:val="4"/>
        </w:numPr>
        <w:ind w:left="714" w:right="424" w:hanging="357"/>
        <w:jc w:val="both"/>
        <w:rPr>
          <w:rFonts w:ascii="Tahoma" w:hAnsi="Tahoma" w:cs="Tahoma"/>
          <w:bCs/>
          <w:color w:val="00B050"/>
          <w:sz w:val="20"/>
        </w:rPr>
      </w:pPr>
      <w:r>
        <w:rPr>
          <w:rFonts w:ascii="Tahoma" w:hAnsi="Tahoma" w:cs="Tahoma"/>
          <w:i/>
          <w:color w:val="00B050"/>
          <w:sz w:val="20"/>
        </w:rPr>
        <w:t>»</w:t>
      </w:r>
      <w:r w:rsidR="00163B62" w:rsidRPr="001A7ED0">
        <w:rPr>
          <w:rFonts w:ascii="Tahoma" w:hAnsi="Tahoma" w:cs="Tahoma"/>
          <w:i/>
          <w:color w:val="00B050"/>
          <w:sz w:val="20"/>
        </w:rPr>
        <w:t xml:space="preserve">upravljanje z varnostno-nadzornim centrom (glavnim) in licenco za upravljanje z varnostno nadzornim centrom (nadomestnim v primeru izpada glavnega), v skladu standardom </w:t>
      </w:r>
      <w:r w:rsidR="00163B62" w:rsidRPr="001A7ED0">
        <w:rPr>
          <w:rFonts w:ascii="Tahoma" w:hAnsi="Tahoma" w:cs="Tahoma"/>
          <w:bCs/>
          <w:i/>
          <w:color w:val="00B050"/>
          <w:sz w:val="20"/>
        </w:rPr>
        <w:t>SIST EN 50518 ali mlajšim</w:t>
      </w:r>
      <w:r w:rsidR="00163B62" w:rsidRPr="001A7ED0">
        <w:rPr>
          <w:rFonts w:ascii="Tahoma" w:hAnsi="Tahoma" w:cs="Tahoma"/>
          <w:i/>
          <w:color w:val="00B050"/>
          <w:sz w:val="20"/>
        </w:rPr>
        <w:t xml:space="preserve"> in z Zakonom o zasebnem varovanju. </w:t>
      </w:r>
      <w:r w:rsidR="00163B62" w:rsidRPr="001A7ED0">
        <w:rPr>
          <w:rFonts w:ascii="Tahoma" w:hAnsi="Tahoma" w:cs="Tahoma"/>
          <w:b/>
          <w:i/>
          <w:color w:val="00B050"/>
          <w:sz w:val="20"/>
        </w:rPr>
        <w:t xml:space="preserve">V kolikor ima ponudnik ali skupina ponudnikov za storitve upravljanja z glavnim varnostno nadzornim centrom drugega imetnika licence, se ta v ponudbi obravnava kot podizvajalec. </w:t>
      </w:r>
      <w:r w:rsidR="00163B62" w:rsidRPr="001A7ED0">
        <w:rPr>
          <w:rFonts w:ascii="Tahoma" w:hAnsi="Tahoma" w:cs="Tahoma"/>
          <w:i/>
          <w:color w:val="00B050"/>
          <w:sz w:val="20"/>
        </w:rPr>
        <w:t xml:space="preserve">Ponudnik mora predložiti licence za glavni in nadomestni varnostno nadzorni center ter v primeru drugih imetnikov licenc tudi pogodbe o najemu varnostno nadzornih centrov. Ponudnik mora tudi predložiti potrdilo </w:t>
      </w:r>
      <w:r w:rsidR="00B219A9" w:rsidRPr="001A7ED0">
        <w:rPr>
          <w:rFonts w:ascii="Tahoma" w:hAnsi="Tahoma" w:cs="Tahoma"/>
          <w:bCs/>
          <w:i/>
          <w:color w:val="00B050"/>
          <w:sz w:val="20"/>
        </w:rPr>
        <w:t>akreditiranega evropskega laboratorija za oba varnostno nadzorna centra (glavni in nadomestni VNC), da delujeta v skladu s SIST EN 50518 ali mlajšim</w:t>
      </w:r>
      <w:r w:rsidR="00B219A9" w:rsidRPr="00443FDC">
        <w:rPr>
          <w:rFonts w:ascii="Tahoma" w:hAnsi="Tahoma" w:cs="Tahoma"/>
          <w:bCs/>
          <w:color w:val="00B050"/>
          <w:sz w:val="20"/>
        </w:rPr>
        <w:t>.</w:t>
      </w:r>
      <w:r>
        <w:rPr>
          <w:rFonts w:ascii="Tahoma" w:hAnsi="Tahoma" w:cs="Tahoma"/>
          <w:bCs/>
          <w:color w:val="00B050"/>
          <w:sz w:val="20"/>
        </w:rPr>
        <w:t>«</w:t>
      </w:r>
    </w:p>
    <w:p w:rsidR="00163B62" w:rsidRPr="00443FDC" w:rsidRDefault="00163B62" w:rsidP="00E73C9D">
      <w:pPr>
        <w:keepNext/>
        <w:keepLines/>
        <w:ind w:right="424"/>
        <w:jc w:val="both"/>
        <w:rPr>
          <w:rFonts w:ascii="Tahoma" w:hAnsi="Tahoma" w:cs="Tahoma"/>
          <w:bCs/>
          <w:color w:val="00B050"/>
          <w:sz w:val="20"/>
        </w:rPr>
      </w:pPr>
    </w:p>
    <w:p w:rsidR="00163B62" w:rsidRPr="00443FDC" w:rsidRDefault="00163B62" w:rsidP="00E73C9D">
      <w:pPr>
        <w:keepNext/>
        <w:keepLines/>
        <w:ind w:right="424"/>
        <w:jc w:val="both"/>
        <w:rPr>
          <w:rFonts w:ascii="Tahoma" w:hAnsi="Tahoma" w:cs="Tahoma"/>
          <w:bCs/>
          <w:color w:val="00B050"/>
          <w:sz w:val="20"/>
        </w:rPr>
      </w:pPr>
    </w:p>
    <w:p w:rsidR="00163B62" w:rsidRPr="00443FDC" w:rsidRDefault="00163B62" w:rsidP="00E73C9D">
      <w:pPr>
        <w:keepNext/>
        <w:keepLines/>
        <w:ind w:right="424"/>
        <w:jc w:val="both"/>
        <w:rPr>
          <w:rFonts w:ascii="Tahoma" w:hAnsi="Tahoma" w:cs="Tahoma"/>
          <w:bCs/>
          <w:color w:val="00B050"/>
          <w:sz w:val="20"/>
        </w:rPr>
      </w:pPr>
    </w:p>
    <w:p w:rsidR="00B219A9" w:rsidRPr="00443FDC" w:rsidRDefault="00B219A9" w:rsidP="00E73C9D">
      <w:pPr>
        <w:keepNext/>
        <w:keepLines/>
        <w:ind w:right="424"/>
        <w:jc w:val="both"/>
        <w:rPr>
          <w:rFonts w:ascii="Tahoma" w:hAnsi="Tahoma" w:cs="Tahoma"/>
          <w:bCs/>
          <w:color w:val="00B050"/>
          <w:sz w:val="20"/>
        </w:rPr>
      </w:pPr>
    </w:p>
    <w:p w:rsidR="00B219A9" w:rsidRPr="00443FDC" w:rsidRDefault="00B219A9" w:rsidP="00E73C9D">
      <w:pPr>
        <w:keepNext/>
        <w:keepLines/>
        <w:ind w:right="424"/>
        <w:jc w:val="both"/>
        <w:rPr>
          <w:rFonts w:ascii="Tahoma" w:hAnsi="Tahoma" w:cs="Tahoma"/>
          <w:bCs/>
          <w:color w:val="00B050"/>
          <w:sz w:val="20"/>
        </w:rPr>
      </w:pPr>
    </w:p>
    <w:p w:rsidR="00052233" w:rsidRPr="00443FDC" w:rsidRDefault="00052233" w:rsidP="00052233">
      <w:pPr>
        <w:keepNext/>
        <w:keepLines/>
        <w:ind w:right="424"/>
        <w:jc w:val="both"/>
        <w:rPr>
          <w:rFonts w:ascii="Tahoma" w:hAnsi="Tahoma" w:cs="Tahoma"/>
          <w:bCs/>
          <w:color w:val="00B050"/>
          <w:sz w:val="20"/>
        </w:rPr>
      </w:pPr>
      <w:r w:rsidRPr="00443FDC">
        <w:rPr>
          <w:rFonts w:ascii="Tahoma" w:hAnsi="Tahoma" w:cs="Tahoma"/>
          <w:bCs/>
          <w:color w:val="00B050"/>
          <w:sz w:val="20"/>
        </w:rPr>
        <w:lastRenderedPageBreak/>
        <w:t xml:space="preserve">V skladu z zgoraj navedeno spremembo mora gospodarski subjekt za zahteve iz </w:t>
      </w:r>
      <w:r w:rsidR="004E3A0F" w:rsidRPr="00443FDC">
        <w:rPr>
          <w:rFonts w:ascii="Tahoma" w:hAnsi="Tahoma" w:cs="Tahoma"/>
          <w:bCs/>
          <w:color w:val="00B050"/>
          <w:sz w:val="20"/>
        </w:rPr>
        <w:t>točke 3.2.1. Ustreznost za opravljanje poklicne dejavnosti (velja za vse sklope) razpisne dokumentacije, podtočke 3 Licence in certifikati (v skladu s tehničnim opisom predmeta naročila za posamezni sklop)</w:t>
      </w:r>
      <w:r w:rsidRPr="00443FDC">
        <w:rPr>
          <w:rFonts w:ascii="Tahoma" w:hAnsi="Tahoma" w:cs="Tahoma"/>
          <w:bCs/>
          <w:color w:val="00B050"/>
          <w:sz w:val="20"/>
        </w:rPr>
        <w:t>,</w:t>
      </w:r>
      <w:r w:rsidR="00B219A9" w:rsidRPr="00443FDC">
        <w:rPr>
          <w:rFonts w:ascii="Tahoma" w:hAnsi="Tahoma" w:cs="Tahoma"/>
          <w:bCs/>
          <w:color w:val="00B050"/>
          <w:sz w:val="20"/>
        </w:rPr>
        <w:t xml:space="preserve"> </w:t>
      </w:r>
      <w:r w:rsidRPr="00443FDC">
        <w:rPr>
          <w:rFonts w:ascii="Tahoma" w:hAnsi="Tahoma" w:cs="Tahoma"/>
          <w:bCs/>
          <w:color w:val="00B050"/>
          <w:sz w:val="20"/>
        </w:rPr>
        <w:t xml:space="preserve">predložiti naslednja </w:t>
      </w:r>
      <w:r w:rsidRPr="00443FDC">
        <w:rPr>
          <w:rFonts w:ascii="Tahoma" w:hAnsi="Tahoma" w:cs="Tahoma"/>
          <w:b/>
          <w:color w:val="00B050"/>
          <w:sz w:val="20"/>
        </w:rPr>
        <w:t>DOKAZILA:</w:t>
      </w:r>
    </w:p>
    <w:p w:rsidR="00052233" w:rsidRPr="00443FDC" w:rsidRDefault="00052233" w:rsidP="00052233">
      <w:pPr>
        <w:keepNext/>
        <w:keepLines/>
        <w:jc w:val="both"/>
        <w:rPr>
          <w:rFonts w:ascii="Tahoma" w:hAnsi="Tahoma" w:cs="Tahoma"/>
          <w:b/>
          <w:color w:val="00B050"/>
          <w:sz w:val="20"/>
        </w:rPr>
      </w:pPr>
    </w:p>
    <w:p w:rsidR="00B219A9" w:rsidRPr="00443FDC" w:rsidRDefault="00052233" w:rsidP="00052233">
      <w:pPr>
        <w:keepNext/>
        <w:keepLines/>
        <w:numPr>
          <w:ilvl w:val="0"/>
          <w:numId w:val="21"/>
        </w:numPr>
        <w:ind w:left="714" w:hanging="357"/>
        <w:jc w:val="both"/>
        <w:rPr>
          <w:rFonts w:ascii="Tahoma" w:hAnsi="Tahoma" w:cs="Tahoma"/>
          <w:bCs/>
          <w:color w:val="00B050"/>
          <w:sz w:val="20"/>
        </w:rPr>
      </w:pPr>
      <w:r w:rsidRPr="00443FDC">
        <w:rPr>
          <w:rFonts w:ascii="Tahoma" w:hAnsi="Tahoma" w:cs="Tahoma"/>
          <w:bCs/>
          <w:color w:val="00B050"/>
          <w:sz w:val="20"/>
        </w:rPr>
        <w:t>izpolnjen obrazec ESPD s strani vseh gospodarskih subjektov v ponudbi,</w:t>
      </w:r>
    </w:p>
    <w:p w:rsidR="00B219A9" w:rsidRPr="00443FDC" w:rsidRDefault="00B219A9" w:rsidP="00B219A9">
      <w:pPr>
        <w:keepNext/>
        <w:keepLines/>
        <w:numPr>
          <w:ilvl w:val="0"/>
          <w:numId w:val="4"/>
        </w:numPr>
        <w:ind w:left="714" w:right="424" w:hanging="357"/>
        <w:jc w:val="both"/>
        <w:rPr>
          <w:rFonts w:ascii="Tahoma" w:hAnsi="Tahoma" w:cs="Tahoma"/>
          <w:color w:val="00B050"/>
          <w:sz w:val="20"/>
        </w:rPr>
      </w:pPr>
      <w:r w:rsidRPr="00443FDC">
        <w:rPr>
          <w:rFonts w:ascii="Tahoma" w:hAnsi="Tahoma" w:cs="Tahoma"/>
          <w:color w:val="00B050"/>
          <w:sz w:val="20"/>
        </w:rPr>
        <w:t xml:space="preserve">priložene fotokopije certifikatov o licenci/ostalih dokazil/certifikatov za opravljanje dejavnosti zasebnega varovanja ter fotokopijo licence za upravljanje z varnostno-nadzornim centrom (glavnim) in fotokopijo licence za upravljanje z varnostno nadzornim centrom (nadomestnim v primeru izpada glavnega), morebitne pogodbe o najemu varnostno nadzornih centrov ter potrdilo </w:t>
      </w:r>
      <w:r w:rsidRPr="00443FDC">
        <w:rPr>
          <w:rFonts w:ascii="Tahoma" w:hAnsi="Tahoma" w:cs="Tahoma"/>
          <w:bCs/>
          <w:color w:val="00B050"/>
          <w:sz w:val="20"/>
        </w:rPr>
        <w:t>akreditiranega evropskega laboratorija za oba varnostno nadzorna centra (glavni in nadomestni VNC), da delujeta v skladu s SIST EN 50518 ali mlajšim</w:t>
      </w:r>
      <w:r w:rsidRPr="00443FDC">
        <w:rPr>
          <w:rFonts w:ascii="Tahoma" w:hAnsi="Tahoma" w:cs="Tahoma"/>
          <w:color w:val="00B050"/>
          <w:sz w:val="20"/>
        </w:rPr>
        <w:t>, ki jih priloži v Prilogi 6.</w:t>
      </w:r>
    </w:p>
    <w:p w:rsidR="001E6FB5" w:rsidRPr="00394DAF" w:rsidRDefault="001E6FB5" w:rsidP="00394DAF">
      <w:pPr>
        <w:keepNext/>
        <w:keepLines/>
        <w:ind w:right="424"/>
        <w:jc w:val="both"/>
        <w:rPr>
          <w:rFonts w:ascii="Tahoma" w:hAnsi="Tahoma" w:cs="Tahoma"/>
          <w:sz w:val="20"/>
        </w:rPr>
      </w:pPr>
    </w:p>
    <w:p w:rsidR="001E6FB5" w:rsidRPr="00443FDC" w:rsidRDefault="001E6FB5" w:rsidP="001E6FB5">
      <w:pPr>
        <w:keepNext/>
        <w:keepLines/>
        <w:ind w:right="424"/>
        <w:jc w:val="both"/>
        <w:rPr>
          <w:rFonts w:ascii="Tahoma" w:hAnsi="Tahoma" w:cs="Tahoma"/>
          <w:bCs/>
          <w:color w:val="00B050"/>
          <w:sz w:val="20"/>
        </w:rPr>
      </w:pPr>
      <w:r w:rsidRPr="001E6FB5">
        <w:rPr>
          <w:rFonts w:ascii="Tahoma" w:hAnsi="Tahoma" w:cs="Tahoma"/>
          <w:bCs/>
          <w:color w:val="00B050"/>
          <w:sz w:val="20"/>
        </w:rPr>
        <w:t xml:space="preserve">Naročnik spreminja razpisno dokumentacijo oziroma Prilogo 6 (DOVOLJENJA, LICENCE, DOKAZILA, POOBLASTILA, POTRDILA) razpisne dokumentacije na način,  da se spremeni besedilo v opombi pod tabelo (navedba glavnega in rezervnega VNC) v točki 3 Licence in certifikati, ki se po spremembi glasi:  </w:t>
      </w:r>
      <w:r w:rsidRPr="001E6FB5">
        <w:rPr>
          <w:rFonts w:ascii="Tahoma" w:hAnsi="Tahoma" w:cs="Tahoma"/>
          <w:color w:val="00B050"/>
          <w:sz w:val="20"/>
        </w:rPr>
        <w:t>»</w:t>
      </w:r>
      <w:r w:rsidRPr="001E6FB5">
        <w:rPr>
          <w:rFonts w:ascii="Tahoma" w:hAnsi="Tahoma" w:cs="Tahoma"/>
          <w:i/>
          <w:color w:val="00B050"/>
          <w:sz w:val="20"/>
        </w:rPr>
        <w:t>V primeru, da gospodarski subjekt oddaja ponudbo za več sklopov predmeta javnega naročila ali v primeru skupne ponudbe, ponudbe s podizvajalci, gospodarski subjekt v zgornji tabeli navede subjekt  oziroma družbo (glavni ponudnik, partner, podizvajalec), ki bodo zagotavljale glavni in nadomestni VNC, za vsak sklop posebej</w:t>
      </w:r>
      <w:r w:rsidRPr="001E6FB5">
        <w:rPr>
          <w:rFonts w:ascii="Tahoma" w:hAnsi="Tahoma" w:cs="Tahoma"/>
          <w:color w:val="00B050"/>
          <w:sz w:val="20"/>
        </w:rPr>
        <w:t>.«</w:t>
      </w:r>
      <w:r w:rsidRPr="00443FDC">
        <w:rPr>
          <w:rFonts w:ascii="Tahoma" w:hAnsi="Tahoma" w:cs="Tahoma"/>
          <w:color w:val="00B050"/>
          <w:sz w:val="20"/>
        </w:rPr>
        <w:t xml:space="preserve"> </w:t>
      </w:r>
    </w:p>
    <w:p w:rsidR="001E6FB5" w:rsidRDefault="001E6FB5" w:rsidP="00CF14B3">
      <w:pPr>
        <w:keepNext/>
        <w:keepLines/>
        <w:ind w:right="424"/>
        <w:jc w:val="both"/>
        <w:rPr>
          <w:rFonts w:ascii="Tahoma" w:hAnsi="Tahoma" w:cs="Tahoma"/>
          <w:color w:val="00B050"/>
          <w:sz w:val="20"/>
        </w:rPr>
      </w:pPr>
    </w:p>
    <w:p w:rsidR="00CF14B3" w:rsidRPr="00443FDC" w:rsidRDefault="00CF14B3" w:rsidP="00CF14B3">
      <w:pPr>
        <w:keepNext/>
        <w:keepLines/>
        <w:ind w:right="424"/>
        <w:jc w:val="both"/>
        <w:rPr>
          <w:rFonts w:ascii="Tahoma" w:hAnsi="Tahoma" w:cs="Tahoma"/>
          <w:color w:val="00B050"/>
          <w:sz w:val="20"/>
        </w:rPr>
      </w:pPr>
      <w:r w:rsidRPr="00443FDC">
        <w:rPr>
          <w:rFonts w:ascii="Tahoma" w:hAnsi="Tahoma" w:cs="Tahoma"/>
          <w:color w:val="00B050"/>
          <w:sz w:val="20"/>
        </w:rPr>
        <w:t>V ostalih delih se besedilo točke</w:t>
      </w:r>
      <w:r w:rsidRPr="00443FDC">
        <w:rPr>
          <w:rFonts w:ascii="Tahoma" w:hAnsi="Tahoma" w:cs="Tahoma"/>
          <w:bCs/>
          <w:color w:val="00B050"/>
          <w:sz w:val="20"/>
        </w:rPr>
        <w:t xml:space="preserve"> 3.2.1. Ustreznost za opravljanje poklicne dejavnosti (velja za vse sklope) razpisne dokumentacije, podtočke 3 Licence in certifikati (v skladu s tehničnim opisom predmeta naročila za posamezni sklop), ne spreminja.</w:t>
      </w:r>
    </w:p>
    <w:p w:rsidR="00E73C9D" w:rsidRPr="00443FDC" w:rsidRDefault="00E73C9D" w:rsidP="000E3456">
      <w:pPr>
        <w:keepNext/>
        <w:keepLines/>
        <w:rPr>
          <w:rFonts w:ascii="Tahoma" w:hAnsi="Tahoma" w:cs="Tahoma"/>
          <w:color w:val="00B050"/>
          <w:sz w:val="20"/>
        </w:rPr>
      </w:pPr>
    </w:p>
    <w:p w:rsidR="00792EB1" w:rsidRPr="00443FDC" w:rsidRDefault="00792EB1" w:rsidP="00DB60D5">
      <w:pPr>
        <w:keepNext/>
        <w:keepLines/>
        <w:ind w:right="424"/>
        <w:jc w:val="both"/>
        <w:rPr>
          <w:rFonts w:ascii="Tahoma" w:hAnsi="Tahoma" w:cs="Tahoma"/>
          <w:bCs/>
          <w:color w:val="00B050"/>
          <w:sz w:val="20"/>
        </w:rPr>
      </w:pPr>
      <w:r w:rsidRPr="00443FDC">
        <w:rPr>
          <w:rFonts w:ascii="Tahoma" w:hAnsi="Tahoma" w:cs="Tahoma"/>
          <w:bCs/>
          <w:color w:val="00B050"/>
          <w:sz w:val="20"/>
        </w:rPr>
        <w:t>Navedena sprememba je razvidna tudi iz spremenjene razpisne dokumentacije, ki je objavljena na Portalu javnih naročil in vsebuje navedene spremembe. Ponudnik, ki oddaja ponudbo za posamezni sklop predmeta javnega naročila mora pri pripravi in oddaji ponudbe upoštevati navedeno sprememb</w:t>
      </w:r>
      <w:r w:rsidR="00DB60D5" w:rsidRPr="00443FDC">
        <w:rPr>
          <w:rFonts w:ascii="Tahoma" w:hAnsi="Tahoma" w:cs="Tahoma"/>
          <w:bCs/>
          <w:color w:val="00B050"/>
          <w:sz w:val="20"/>
        </w:rPr>
        <w:t>o razpisne dokumentacije z dne 9</w:t>
      </w:r>
      <w:r w:rsidRPr="00443FDC">
        <w:rPr>
          <w:rFonts w:ascii="Tahoma" w:hAnsi="Tahoma" w:cs="Tahoma"/>
          <w:bCs/>
          <w:color w:val="00B050"/>
          <w:sz w:val="20"/>
        </w:rPr>
        <w:t xml:space="preserve">. 10. 2023 in ponudbo oddati </w:t>
      </w:r>
      <w:r w:rsidR="00DB60D5" w:rsidRPr="00443FDC">
        <w:rPr>
          <w:rFonts w:ascii="Tahoma" w:hAnsi="Tahoma" w:cs="Tahoma"/>
          <w:bCs/>
          <w:color w:val="00B050"/>
          <w:sz w:val="20"/>
        </w:rPr>
        <w:t xml:space="preserve">na spremenjeni Prilogi 6 z dne </w:t>
      </w:r>
      <w:r w:rsidR="001E6FB5">
        <w:rPr>
          <w:rFonts w:ascii="Tahoma" w:hAnsi="Tahoma" w:cs="Tahoma"/>
          <w:bCs/>
          <w:color w:val="00B050"/>
          <w:sz w:val="20"/>
        </w:rPr>
        <w:t xml:space="preserve">                    </w:t>
      </w:r>
      <w:r w:rsidR="00DB60D5" w:rsidRPr="00443FDC">
        <w:rPr>
          <w:rFonts w:ascii="Tahoma" w:hAnsi="Tahoma" w:cs="Tahoma"/>
          <w:bCs/>
          <w:color w:val="00B050"/>
          <w:sz w:val="20"/>
        </w:rPr>
        <w:t>9</w:t>
      </w:r>
      <w:r w:rsidRPr="00443FDC">
        <w:rPr>
          <w:rFonts w:ascii="Tahoma" w:hAnsi="Tahoma" w:cs="Tahoma"/>
          <w:bCs/>
          <w:color w:val="00B050"/>
          <w:sz w:val="20"/>
        </w:rPr>
        <w:t>. 10. 2023.</w:t>
      </w:r>
    </w:p>
    <w:p w:rsidR="00DB60D5" w:rsidRPr="00443FDC" w:rsidRDefault="00DB60D5" w:rsidP="00DB60D5">
      <w:pPr>
        <w:keepNext/>
        <w:keepLines/>
        <w:ind w:right="424"/>
        <w:jc w:val="both"/>
        <w:rPr>
          <w:rFonts w:ascii="Tahoma" w:hAnsi="Tahoma" w:cs="Tahoma"/>
          <w:bCs/>
          <w:color w:val="00B050"/>
          <w:sz w:val="20"/>
        </w:rPr>
      </w:pPr>
    </w:p>
    <w:p w:rsidR="00443FDC" w:rsidRPr="00443FDC" w:rsidRDefault="00DB60D5" w:rsidP="00DB60D5">
      <w:pPr>
        <w:keepNext/>
        <w:keepLines/>
        <w:pBdr>
          <w:bottom w:val="single" w:sz="4" w:space="1" w:color="auto"/>
        </w:pBdr>
        <w:ind w:right="424"/>
        <w:jc w:val="both"/>
        <w:rPr>
          <w:rFonts w:ascii="Tahoma" w:hAnsi="Tahoma" w:cs="Tahoma"/>
          <w:b/>
          <w:bCs/>
          <w:color w:val="00B050"/>
          <w:sz w:val="20"/>
        </w:rPr>
      </w:pPr>
      <w:r w:rsidRPr="00443FDC">
        <w:rPr>
          <w:rFonts w:ascii="Tahoma" w:hAnsi="Tahoma" w:cs="Tahoma"/>
          <w:b/>
          <w:bCs/>
          <w:color w:val="00B050"/>
          <w:sz w:val="20"/>
        </w:rPr>
        <w:t xml:space="preserve">Dodatno pojasnilo k odgovoru na vprašanje: V skladu z določili razpisne dokumentacije in </w:t>
      </w:r>
      <w:r w:rsidR="00443FDC" w:rsidRPr="00443FDC">
        <w:rPr>
          <w:rFonts w:ascii="Tahoma" w:hAnsi="Tahoma" w:cs="Tahoma"/>
          <w:b/>
          <w:bCs/>
          <w:color w:val="00B050"/>
          <w:sz w:val="20"/>
        </w:rPr>
        <w:t xml:space="preserve">v skladu z </w:t>
      </w:r>
      <w:r w:rsidRPr="00443FDC">
        <w:rPr>
          <w:rFonts w:ascii="Tahoma" w:hAnsi="Tahoma" w:cs="Tahoma"/>
          <w:b/>
          <w:bCs/>
          <w:color w:val="00B050"/>
          <w:sz w:val="20"/>
        </w:rPr>
        <w:t xml:space="preserve">odgovori na vprašanja mora biti subjekt, ki bo zagotavljal glavni ali rezervni VNC, ustrezno nominiran/naveden v ponudi (glavni ponudnik, partner ali podizvajalec). </w:t>
      </w:r>
    </w:p>
    <w:p w:rsidR="00CF14B3" w:rsidRPr="00443FDC" w:rsidRDefault="00CF14B3" w:rsidP="000E3456">
      <w:pPr>
        <w:keepNext/>
        <w:keepLines/>
        <w:rPr>
          <w:rFonts w:ascii="Tahoma" w:hAnsi="Tahoma" w:cs="Tahoma"/>
          <w:color w:val="00B050"/>
          <w:sz w:val="20"/>
        </w:rPr>
      </w:pPr>
    </w:p>
    <w:p w:rsidR="000E1266" w:rsidRPr="00443FDC" w:rsidRDefault="000E1266" w:rsidP="000E1266">
      <w:pPr>
        <w:keepNext/>
        <w:keepLines/>
        <w:tabs>
          <w:tab w:val="left" w:pos="8505"/>
        </w:tabs>
        <w:spacing w:after="120"/>
        <w:jc w:val="both"/>
        <w:rPr>
          <w:rFonts w:ascii="Tahoma" w:hAnsi="Tahoma" w:cs="Tahoma"/>
          <w:color w:val="FF0000"/>
          <w:sz w:val="20"/>
        </w:rPr>
      </w:pPr>
      <w:r w:rsidRPr="00443FDC">
        <w:rPr>
          <w:rFonts w:ascii="Tahoma" w:hAnsi="Tahoma" w:cs="Tahoma"/>
          <w:color w:val="FF0000"/>
          <w:sz w:val="20"/>
        </w:rPr>
        <w:t>VPRAŠANJE:</w:t>
      </w:r>
      <w:r w:rsidR="00BA1780" w:rsidRPr="00443FDC">
        <w:rPr>
          <w:rFonts w:ascii="Helvetica" w:hAnsi="Helvetica" w:cs="Helvetica"/>
          <w:b/>
          <w:bCs/>
          <w:color w:val="333333"/>
          <w:sz w:val="21"/>
          <w:szCs w:val="21"/>
        </w:rPr>
        <w:t xml:space="preserve"> </w:t>
      </w:r>
      <w:r w:rsidR="007C2EC1" w:rsidRPr="00443FDC">
        <w:rPr>
          <w:rFonts w:ascii="Helvetica" w:hAnsi="Helvetica" w:cs="Helvetica"/>
          <w:bCs/>
          <w:color w:val="FF0000"/>
          <w:sz w:val="21"/>
          <w:szCs w:val="21"/>
        </w:rPr>
        <w:t>Datum prejema: 05.10.2023   13:00</w:t>
      </w:r>
    </w:p>
    <w:p w:rsidR="007C2EC1" w:rsidRPr="00443FDC" w:rsidRDefault="007C2EC1" w:rsidP="007C2EC1">
      <w:pPr>
        <w:keepNext/>
        <w:keepLines/>
        <w:ind w:right="424"/>
        <w:jc w:val="both"/>
        <w:rPr>
          <w:rFonts w:ascii="Tahoma" w:hAnsi="Tahoma" w:cs="Tahoma"/>
          <w:bCs/>
          <w:sz w:val="20"/>
        </w:rPr>
      </w:pPr>
      <w:r w:rsidRPr="00443FDC">
        <w:rPr>
          <w:rFonts w:ascii="Tahoma" w:hAnsi="Tahoma" w:cs="Tahoma"/>
          <w:bCs/>
          <w:sz w:val="20"/>
        </w:rPr>
        <w:t xml:space="preserve">V primeru, da ponudnik ne razpolaga z lastnim VNC-jem, ga mora po Zakonu o zasebnem varovanju v pogodbi priglasiti. V razpisni dokumentaciji je na strani 23 navedeno, da je potrebno priložiti licenco glavnega VNC, licenco nadomestnega VNC in pa pogodbo o zagotavljanju le tega, kar po tem takem pomeni, da ponudnik ki nima lastnega VNC, z najemom le tega izpolnjuje pogoje za ti. </w:t>
      </w:r>
      <w:proofErr w:type="spellStart"/>
      <w:r w:rsidRPr="00443FDC">
        <w:rPr>
          <w:rFonts w:ascii="Tahoma" w:hAnsi="Tahoma" w:cs="Tahoma"/>
          <w:bCs/>
          <w:sz w:val="20"/>
        </w:rPr>
        <w:t>podizvajalsko</w:t>
      </w:r>
      <w:proofErr w:type="spellEnd"/>
      <w:r w:rsidRPr="00443FDC">
        <w:rPr>
          <w:rFonts w:ascii="Tahoma" w:hAnsi="Tahoma" w:cs="Tahoma"/>
          <w:bCs/>
          <w:sz w:val="20"/>
        </w:rPr>
        <w:t xml:space="preserve"> verigo. Skladno z Zakonom o zasebnem varovanju naj naročnik zahteva, da se v ponudbi priglasi podizvajalce podizvajalcev glavnega izvajalca ali nadaljnje podizvajalce v </w:t>
      </w:r>
      <w:proofErr w:type="spellStart"/>
      <w:r w:rsidRPr="00443FDC">
        <w:rPr>
          <w:rFonts w:ascii="Tahoma" w:hAnsi="Tahoma" w:cs="Tahoma"/>
          <w:bCs/>
          <w:sz w:val="20"/>
        </w:rPr>
        <w:t>podizvajalski</w:t>
      </w:r>
      <w:proofErr w:type="spellEnd"/>
      <w:r w:rsidRPr="00443FDC">
        <w:rPr>
          <w:rFonts w:ascii="Tahoma" w:hAnsi="Tahoma" w:cs="Tahoma"/>
          <w:bCs/>
          <w:sz w:val="20"/>
        </w:rPr>
        <w:t xml:space="preserve"> verigi (8. odst. 94. člena ZJN-3) ter predložitev ustrezne dokumentacije in licenc.</w:t>
      </w:r>
    </w:p>
    <w:p w:rsidR="007C2EC1" w:rsidRPr="00443FDC" w:rsidRDefault="007C2EC1" w:rsidP="002E363E">
      <w:pPr>
        <w:keepNext/>
        <w:keepLines/>
        <w:ind w:right="424"/>
        <w:jc w:val="both"/>
        <w:rPr>
          <w:rFonts w:ascii="Tahoma" w:hAnsi="Tahoma" w:cs="Tahoma"/>
          <w:bCs/>
          <w:sz w:val="20"/>
        </w:rPr>
      </w:pPr>
    </w:p>
    <w:p w:rsidR="000E1266" w:rsidRPr="00443FDC" w:rsidRDefault="000E1266" w:rsidP="000E1266">
      <w:pPr>
        <w:keepNext/>
        <w:keepLines/>
        <w:tabs>
          <w:tab w:val="left" w:pos="8505"/>
        </w:tabs>
        <w:spacing w:after="120"/>
        <w:jc w:val="both"/>
        <w:rPr>
          <w:rFonts w:ascii="Tahoma" w:hAnsi="Tahoma" w:cs="Tahoma"/>
          <w:color w:val="00B050"/>
          <w:sz w:val="20"/>
        </w:rPr>
      </w:pPr>
      <w:r w:rsidRPr="00443FDC">
        <w:rPr>
          <w:rFonts w:ascii="Tahoma" w:hAnsi="Tahoma" w:cs="Tahoma"/>
          <w:color w:val="00B050"/>
          <w:sz w:val="20"/>
        </w:rPr>
        <w:t>ODGOVOR:</w:t>
      </w:r>
    </w:p>
    <w:p w:rsidR="00F15B55" w:rsidRPr="00443FDC" w:rsidRDefault="00F15B55" w:rsidP="00F15B55">
      <w:pPr>
        <w:keepNext/>
        <w:keepLines/>
        <w:ind w:right="424"/>
        <w:jc w:val="both"/>
        <w:rPr>
          <w:rFonts w:ascii="Tahoma" w:hAnsi="Tahoma" w:cs="Tahoma"/>
          <w:bCs/>
          <w:color w:val="00B050"/>
          <w:sz w:val="20"/>
        </w:rPr>
      </w:pPr>
      <w:r w:rsidRPr="00443FDC">
        <w:rPr>
          <w:rFonts w:ascii="Tahoma" w:hAnsi="Tahoma" w:cs="Tahoma"/>
          <w:bCs/>
          <w:color w:val="00B050"/>
          <w:sz w:val="20"/>
        </w:rPr>
        <w:t>V skladu z določili razpisne dokumentacije mora biti subjekt, ki bo zagotavljal glavni ali nadomestni (rezervni) VNC, ustrezno nomi</w:t>
      </w:r>
      <w:r w:rsidR="0033465F" w:rsidRPr="00443FDC">
        <w:rPr>
          <w:rFonts w:ascii="Tahoma" w:hAnsi="Tahoma" w:cs="Tahoma"/>
          <w:bCs/>
          <w:color w:val="00B050"/>
          <w:sz w:val="20"/>
        </w:rPr>
        <w:t>niran/naveden v ponudi (</w:t>
      </w:r>
      <w:r w:rsidR="00274D27" w:rsidRPr="00443FDC">
        <w:rPr>
          <w:rFonts w:ascii="Tahoma" w:hAnsi="Tahoma" w:cs="Tahoma"/>
          <w:bCs/>
          <w:color w:val="00B050"/>
          <w:sz w:val="20"/>
        </w:rPr>
        <w:t xml:space="preserve">glavni ponudnik, </w:t>
      </w:r>
      <w:r w:rsidR="0033465F" w:rsidRPr="00443FDC">
        <w:rPr>
          <w:rFonts w:ascii="Tahoma" w:hAnsi="Tahoma" w:cs="Tahoma"/>
          <w:bCs/>
          <w:color w:val="00B050"/>
          <w:sz w:val="20"/>
        </w:rPr>
        <w:t>partner ali</w:t>
      </w:r>
      <w:r w:rsidRPr="00443FDC">
        <w:rPr>
          <w:rFonts w:ascii="Tahoma" w:hAnsi="Tahoma" w:cs="Tahoma"/>
          <w:bCs/>
          <w:color w:val="00B050"/>
          <w:sz w:val="20"/>
        </w:rPr>
        <w:t xml:space="preserve"> podizvajalec). Za subjekt, ki bo zagotavljal glavni ali nadomestni (rezervni) VNC</w:t>
      </w:r>
      <w:r w:rsidR="00E73C9D" w:rsidRPr="00443FDC">
        <w:rPr>
          <w:rFonts w:ascii="Tahoma" w:hAnsi="Tahoma" w:cs="Tahoma"/>
          <w:bCs/>
          <w:color w:val="00B050"/>
          <w:sz w:val="20"/>
        </w:rPr>
        <w:t xml:space="preserve"> morajo biti </w:t>
      </w:r>
      <w:r w:rsidRPr="00443FDC">
        <w:rPr>
          <w:rFonts w:ascii="Tahoma" w:hAnsi="Tahoma" w:cs="Tahoma"/>
          <w:bCs/>
          <w:color w:val="00B050"/>
          <w:sz w:val="20"/>
        </w:rPr>
        <w:t>predložena vsa ustrezna dokumentacija</w:t>
      </w:r>
      <w:r w:rsidR="00252A86" w:rsidRPr="00443FDC">
        <w:rPr>
          <w:rFonts w:ascii="Tahoma" w:hAnsi="Tahoma" w:cs="Tahoma"/>
          <w:bCs/>
          <w:color w:val="00B050"/>
          <w:sz w:val="20"/>
        </w:rPr>
        <w:t xml:space="preserve"> (dokazila in licence, ESPD, ...)</w:t>
      </w:r>
      <w:r w:rsidR="00E73C9D" w:rsidRPr="00443FDC">
        <w:rPr>
          <w:rFonts w:ascii="Tahoma" w:hAnsi="Tahoma" w:cs="Tahoma"/>
          <w:bCs/>
          <w:color w:val="00B050"/>
          <w:sz w:val="20"/>
        </w:rPr>
        <w:t>, v skladu z določili razpisne dokumentacije in njenimi spremembami in pojasnili.</w:t>
      </w:r>
    </w:p>
    <w:p w:rsidR="00274D27" w:rsidRPr="00443FDC" w:rsidRDefault="00274D27" w:rsidP="00F15B55">
      <w:pPr>
        <w:keepNext/>
        <w:keepLines/>
        <w:ind w:right="424"/>
        <w:jc w:val="both"/>
        <w:rPr>
          <w:rFonts w:ascii="Tahoma" w:hAnsi="Tahoma" w:cs="Tahoma"/>
          <w:bCs/>
          <w:color w:val="00B050"/>
          <w:sz w:val="20"/>
        </w:rPr>
      </w:pPr>
    </w:p>
    <w:p w:rsidR="00274D27" w:rsidRPr="00443FDC" w:rsidRDefault="00274D27" w:rsidP="00274D27">
      <w:pPr>
        <w:keepNext/>
        <w:keepLines/>
        <w:ind w:right="424"/>
        <w:jc w:val="both"/>
        <w:rPr>
          <w:rFonts w:ascii="Tahoma" w:hAnsi="Tahoma" w:cs="Tahoma"/>
          <w:bCs/>
          <w:color w:val="00B050"/>
          <w:sz w:val="20"/>
        </w:rPr>
      </w:pPr>
      <w:r w:rsidRPr="00443FDC">
        <w:rPr>
          <w:rFonts w:ascii="Tahoma" w:hAnsi="Tahoma" w:cs="Tahoma"/>
          <w:bCs/>
          <w:color w:val="00B050"/>
          <w:sz w:val="20"/>
        </w:rPr>
        <w:lastRenderedPageBreak/>
        <w:t>Naročnik spreminja razpisno dokumentacijo oziroma Prilogo 6 (DOVOLJENJA, LICENCE, DOKAZILA, POOBLASTILA, POTRDILA) razpisne dokumentacije</w:t>
      </w:r>
      <w:r w:rsidR="00645D57">
        <w:rPr>
          <w:rFonts w:ascii="Tahoma" w:hAnsi="Tahoma" w:cs="Tahoma"/>
          <w:bCs/>
          <w:color w:val="00B050"/>
          <w:sz w:val="20"/>
        </w:rPr>
        <w:t xml:space="preserve"> </w:t>
      </w:r>
      <w:r w:rsidRPr="00443FDC">
        <w:rPr>
          <w:rFonts w:ascii="Tahoma" w:hAnsi="Tahoma" w:cs="Tahoma"/>
          <w:bCs/>
          <w:color w:val="00B050"/>
          <w:sz w:val="20"/>
        </w:rPr>
        <w:t xml:space="preserve"> na način,  da se spremeni besedilo v opombi pod tabelo </w:t>
      </w:r>
      <w:r w:rsidR="00705D61" w:rsidRPr="00443FDC">
        <w:rPr>
          <w:rFonts w:ascii="Tahoma" w:hAnsi="Tahoma" w:cs="Tahoma"/>
          <w:bCs/>
          <w:color w:val="00B050"/>
          <w:sz w:val="20"/>
        </w:rPr>
        <w:t xml:space="preserve">(navedba glavnega in rezervnega VNC) </w:t>
      </w:r>
      <w:r w:rsidRPr="00443FDC">
        <w:rPr>
          <w:rFonts w:ascii="Tahoma" w:hAnsi="Tahoma" w:cs="Tahoma"/>
          <w:bCs/>
          <w:color w:val="00B050"/>
          <w:sz w:val="20"/>
        </w:rPr>
        <w:t xml:space="preserve">v točki 3 Licence in certifikati, ki se po spremembi glasi:  </w:t>
      </w:r>
      <w:r w:rsidRPr="00443FDC">
        <w:rPr>
          <w:rFonts w:ascii="Tahoma" w:hAnsi="Tahoma" w:cs="Tahoma"/>
          <w:color w:val="00B050"/>
          <w:sz w:val="20"/>
        </w:rPr>
        <w:t>»</w:t>
      </w:r>
      <w:r w:rsidRPr="00443FDC">
        <w:rPr>
          <w:rFonts w:ascii="Tahoma" w:hAnsi="Tahoma" w:cs="Tahoma"/>
          <w:i/>
          <w:color w:val="00B050"/>
          <w:sz w:val="20"/>
        </w:rPr>
        <w:t>V primeru, da gospodarski subjekt oddaja ponudbo za več sklopov predmeta javnega naročila ali v primeru skupne ponudbe, ponudbe s podizvajalci, gospodarski subjekt v zgornji tabeli navede subjekt  oziroma družbo</w:t>
      </w:r>
      <w:r w:rsidR="00705D61" w:rsidRPr="00443FDC">
        <w:rPr>
          <w:rFonts w:ascii="Tahoma" w:hAnsi="Tahoma" w:cs="Tahoma"/>
          <w:i/>
          <w:color w:val="00B050"/>
          <w:sz w:val="20"/>
        </w:rPr>
        <w:t xml:space="preserve"> (glavni ponudnik, partner, podizvajalec)</w:t>
      </w:r>
      <w:r w:rsidRPr="00443FDC">
        <w:rPr>
          <w:rFonts w:ascii="Tahoma" w:hAnsi="Tahoma" w:cs="Tahoma"/>
          <w:i/>
          <w:color w:val="00B050"/>
          <w:sz w:val="20"/>
        </w:rPr>
        <w:t>, ki bodo zagotavljale glavni in nadomestni VNC, za vsak sklop posebej</w:t>
      </w:r>
      <w:r w:rsidRPr="00443FDC">
        <w:rPr>
          <w:rFonts w:ascii="Tahoma" w:hAnsi="Tahoma" w:cs="Tahoma"/>
          <w:color w:val="00B050"/>
          <w:sz w:val="20"/>
        </w:rPr>
        <w:t xml:space="preserve">.« </w:t>
      </w:r>
    </w:p>
    <w:p w:rsidR="00274D27" w:rsidRPr="00443FDC" w:rsidRDefault="00274D27" w:rsidP="00274D27">
      <w:pPr>
        <w:keepNext/>
        <w:keepLines/>
        <w:ind w:right="424"/>
        <w:jc w:val="both"/>
        <w:rPr>
          <w:rFonts w:ascii="Tahoma" w:hAnsi="Tahoma" w:cs="Tahoma"/>
          <w:bCs/>
          <w:color w:val="00B050"/>
          <w:sz w:val="20"/>
        </w:rPr>
      </w:pPr>
    </w:p>
    <w:p w:rsidR="00705D61" w:rsidRPr="00443FDC" w:rsidRDefault="00705D61" w:rsidP="00705D61">
      <w:pPr>
        <w:keepNext/>
        <w:keepLines/>
        <w:ind w:right="424"/>
        <w:jc w:val="both"/>
        <w:rPr>
          <w:rFonts w:ascii="Tahoma" w:hAnsi="Tahoma" w:cs="Tahoma"/>
          <w:bCs/>
          <w:color w:val="00B050"/>
          <w:sz w:val="20"/>
        </w:rPr>
      </w:pPr>
      <w:r w:rsidRPr="00443FDC">
        <w:rPr>
          <w:rFonts w:ascii="Tahoma" w:hAnsi="Tahoma" w:cs="Tahoma"/>
          <w:bCs/>
          <w:color w:val="00B050"/>
          <w:sz w:val="20"/>
        </w:rPr>
        <w:t>Navedena sprememba je razvidna tudi iz spremenjene Priloge 6 (DOVOLJENJA, LICENCE, DOKAZILA, POOBLASTILA, POTRDILA) oziroma iz spremenjene razpisne dokumentacije, ki je objavljena na Portalu javnih naročil in vsebuje navedene spremembe. Ponudnik, ki oddaja ponudbo za posamezni sklop predmeta javnega naročila mora pri pripravi in oddaji ponudbe upoštevati navedeno sprememb</w:t>
      </w:r>
      <w:r w:rsidR="00DB60D5" w:rsidRPr="00443FDC">
        <w:rPr>
          <w:rFonts w:ascii="Tahoma" w:hAnsi="Tahoma" w:cs="Tahoma"/>
          <w:bCs/>
          <w:color w:val="00B050"/>
          <w:sz w:val="20"/>
        </w:rPr>
        <w:t>o razpisne dokumentacije z dne 9</w:t>
      </w:r>
      <w:r w:rsidRPr="00443FDC">
        <w:rPr>
          <w:rFonts w:ascii="Tahoma" w:hAnsi="Tahoma" w:cs="Tahoma"/>
          <w:bCs/>
          <w:color w:val="00B050"/>
          <w:sz w:val="20"/>
        </w:rPr>
        <w:t xml:space="preserve">. 10. 2023 in ponudbo oddati </w:t>
      </w:r>
      <w:r w:rsidR="00DB60D5" w:rsidRPr="00443FDC">
        <w:rPr>
          <w:rFonts w:ascii="Tahoma" w:hAnsi="Tahoma" w:cs="Tahoma"/>
          <w:bCs/>
          <w:color w:val="00B050"/>
          <w:sz w:val="20"/>
        </w:rPr>
        <w:t xml:space="preserve">na spremenjeni Prilogi 6 z dne </w:t>
      </w:r>
      <w:r w:rsidR="001E6FB5">
        <w:rPr>
          <w:rFonts w:ascii="Tahoma" w:hAnsi="Tahoma" w:cs="Tahoma"/>
          <w:bCs/>
          <w:color w:val="00B050"/>
          <w:sz w:val="20"/>
        </w:rPr>
        <w:t xml:space="preserve">                     </w:t>
      </w:r>
      <w:r w:rsidR="00DB60D5" w:rsidRPr="00443FDC">
        <w:rPr>
          <w:rFonts w:ascii="Tahoma" w:hAnsi="Tahoma" w:cs="Tahoma"/>
          <w:bCs/>
          <w:color w:val="00B050"/>
          <w:sz w:val="20"/>
        </w:rPr>
        <w:t>9</w:t>
      </w:r>
      <w:r w:rsidRPr="00443FDC">
        <w:rPr>
          <w:rFonts w:ascii="Tahoma" w:hAnsi="Tahoma" w:cs="Tahoma"/>
          <w:bCs/>
          <w:color w:val="00B050"/>
          <w:sz w:val="20"/>
        </w:rPr>
        <w:t>. 10. 2023.</w:t>
      </w:r>
    </w:p>
    <w:p w:rsidR="00705D61" w:rsidRPr="00443FDC" w:rsidRDefault="00705D61" w:rsidP="00705D61">
      <w:pPr>
        <w:keepNext/>
        <w:keepLines/>
        <w:ind w:right="424"/>
        <w:jc w:val="both"/>
        <w:rPr>
          <w:rFonts w:ascii="Tahoma" w:hAnsi="Tahoma" w:cs="Tahoma"/>
          <w:bCs/>
          <w:color w:val="00B050"/>
          <w:sz w:val="20"/>
        </w:rPr>
      </w:pPr>
    </w:p>
    <w:p w:rsidR="00705D61" w:rsidRPr="00443FDC" w:rsidRDefault="00705D61" w:rsidP="00443FDC">
      <w:pPr>
        <w:keepNext/>
        <w:keepLines/>
        <w:pBdr>
          <w:bottom w:val="single" w:sz="4" w:space="1" w:color="auto"/>
        </w:pBdr>
        <w:ind w:right="424"/>
        <w:jc w:val="both"/>
        <w:rPr>
          <w:rFonts w:ascii="Tahoma" w:hAnsi="Tahoma" w:cs="Tahoma"/>
          <w:b/>
          <w:bCs/>
          <w:color w:val="00B050"/>
          <w:sz w:val="20"/>
        </w:rPr>
      </w:pPr>
      <w:r w:rsidRPr="00443FDC">
        <w:rPr>
          <w:rFonts w:ascii="Tahoma" w:hAnsi="Tahoma" w:cs="Tahoma"/>
          <w:b/>
          <w:bCs/>
          <w:color w:val="00B050"/>
          <w:sz w:val="20"/>
        </w:rPr>
        <w:t xml:space="preserve">Dodatno pojasnilo k odgovoru na vprašanje: V skladu z določili razpisne dokumentacije in odgovori na vprašanja mora biti subjekt, ki bo zagotavljal glavni ali rezervni VNC, ustrezno nominiran/naveden v ponudi (glavni ponudnik, partner ali podizvajalec). </w:t>
      </w:r>
    </w:p>
    <w:p w:rsidR="00F15B55" w:rsidRPr="00F15B55" w:rsidRDefault="00F15B55" w:rsidP="00F15B55">
      <w:pPr>
        <w:keepNext/>
        <w:keepLines/>
        <w:ind w:right="424"/>
        <w:jc w:val="both"/>
        <w:rPr>
          <w:rFonts w:ascii="Tahoma" w:hAnsi="Tahoma" w:cs="Tahoma"/>
          <w:bCs/>
          <w:sz w:val="20"/>
        </w:rPr>
      </w:pPr>
    </w:p>
    <w:p w:rsidR="00BA1780" w:rsidRPr="008F64E7" w:rsidRDefault="00BA1780" w:rsidP="00BA178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007C2EC1">
        <w:rPr>
          <w:rFonts w:ascii="Helvetica" w:hAnsi="Helvetica" w:cs="Helvetica"/>
          <w:bCs/>
          <w:color w:val="FF0000"/>
          <w:sz w:val="21"/>
          <w:szCs w:val="21"/>
        </w:rPr>
        <w:t>Datum prejema: 05.10.2023   12:59</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V razpisni dokumentaciji v točki 2.2.8. Zavarovanje prevoza gotovine (velja za Sklop št. 3: LPP in Sklop št. 5: ŽALE) je navedeno: Ponudnik, ki bo izvajal prevoze gotovine za Sklop št. 3: LPP in Sklop št. 5: ŽALE mora zagotavljati zavarovanje gotovine na poti za posamezni prevoz, v skladu z relevantno zakonodajo. Ter predložitev zavarovalne police o zagotavljanju le tega.</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br/>
        <w:t>Glede na to, da ima verjetno vsako podjetje zavarovano poklicno odgovornost, zavarovanje gotovine, ki ni v njegovi lasti ne zavaruje posebej. To nesmiselna zahteva za kar zahtevamo spremembo pogoja, da se zavarovalna polica predloži pred podpisom pogodbe oz. okvirnega sporazuma.</w:t>
      </w:r>
    </w:p>
    <w:p w:rsidR="007C2EC1" w:rsidRDefault="007C2EC1" w:rsidP="00BA1780">
      <w:pPr>
        <w:keepNext/>
        <w:keepLines/>
        <w:ind w:right="424"/>
        <w:jc w:val="both"/>
        <w:rPr>
          <w:rFonts w:ascii="Tahoma" w:hAnsi="Tahoma" w:cs="Tahoma"/>
          <w:bCs/>
          <w:sz w:val="20"/>
        </w:rPr>
      </w:pPr>
    </w:p>
    <w:p w:rsidR="00BA1780" w:rsidRPr="00BB5784" w:rsidRDefault="00BA1780" w:rsidP="00BA1780">
      <w:pPr>
        <w:keepNext/>
        <w:keepLines/>
        <w:tabs>
          <w:tab w:val="left" w:pos="8505"/>
        </w:tabs>
        <w:spacing w:after="120"/>
        <w:jc w:val="both"/>
        <w:rPr>
          <w:rFonts w:ascii="Tahoma" w:hAnsi="Tahoma" w:cs="Tahoma"/>
          <w:color w:val="00B050"/>
          <w:sz w:val="20"/>
        </w:rPr>
      </w:pPr>
      <w:r w:rsidRPr="00BB5784">
        <w:rPr>
          <w:rFonts w:ascii="Tahoma" w:hAnsi="Tahoma" w:cs="Tahoma"/>
          <w:color w:val="00B050"/>
          <w:sz w:val="20"/>
        </w:rPr>
        <w:t>ODGOVOR:</w:t>
      </w:r>
    </w:p>
    <w:p w:rsidR="006B5EAA" w:rsidRPr="006B5EAA" w:rsidRDefault="007C2EC1" w:rsidP="006B5EAA">
      <w:pPr>
        <w:keepNext/>
        <w:keepLines/>
        <w:ind w:right="424"/>
        <w:jc w:val="both"/>
        <w:rPr>
          <w:rFonts w:ascii="Tahoma" w:hAnsi="Tahoma" w:cs="Tahoma"/>
          <w:bCs/>
          <w:color w:val="00B050"/>
          <w:sz w:val="20"/>
        </w:rPr>
      </w:pPr>
      <w:r>
        <w:rPr>
          <w:rFonts w:ascii="Tahoma" w:hAnsi="Tahoma" w:cs="Tahoma"/>
          <w:bCs/>
          <w:color w:val="00B050"/>
          <w:sz w:val="20"/>
        </w:rPr>
        <w:t>Naročnik se strinja s predlogom gospodarskega subjekta.</w:t>
      </w:r>
      <w:r w:rsidR="006B5EAA">
        <w:rPr>
          <w:rFonts w:ascii="Tahoma" w:hAnsi="Tahoma" w:cs="Tahoma"/>
          <w:bCs/>
          <w:color w:val="00B050"/>
          <w:sz w:val="20"/>
        </w:rPr>
        <w:t xml:space="preserve"> Ponudnikom, ki nameravajo oddati ponudbo za </w:t>
      </w:r>
      <w:r w:rsidR="006B5EAA" w:rsidRPr="006B5EAA">
        <w:rPr>
          <w:rFonts w:ascii="Tahoma" w:hAnsi="Tahoma" w:cs="Tahoma"/>
          <w:bCs/>
          <w:color w:val="00B050"/>
          <w:sz w:val="20"/>
        </w:rPr>
        <w:t>Sklop št. 3: LPP in Sklop št. 5: ŽALE, ob oddaji ponudbe (v Prilogi 6) ni potrebno predložiti fotokopijo zavarovalne police ali potrdilo zavarovalnice</w:t>
      </w:r>
      <w:r w:rsidR="00CE13B8">
        <w:rPr>
          <w:rFonts w:ascii="Tahoma" w:hAnsi="Tahoma" w:cs="Tahoma"/>
          <w:bCs/>
          <w:color w:val="00B050"/>
          <w:sz w:val="20"/>
        </w:rPr>
        <w:t xml:space="preserve"> o zavarovanju prevoza gotovine. </w:t>
      </w:r>
      <w:r w:rsidR="006B5EAA" w:rsidRPr="006B5EAA">
        <w:rPr>
          <w:rFonts w:ascii="Tahoma" w:hAnsi="Tahoma" w:cs="Tahoma"/>
          <w:bCs/>
          <w:color w:val="00B050"/>
          <w:sz w:val="20"/>
        </w:rPr>
        <w:t>Navedeno zavarovanje bo izbrani ponudnik za Sklop št. 3: LPP in Sklop št. 5: ŽALE dolžan predložiti posameznemu naročniku o</w:t>
      </w:r>
      <w:r w:rsidR="00443FDC">
        <w:rPr>
          <w:rFonts w:ascii="Tahoma" w:hAnsi="Tahoma" w:cs="Tahoma"/>
          <w:bCs/>
          <w:color w:val="00B050"/>
          <w:sz w:val="20"/>
        </w:rPr>
        <w:t xml:space="preserve">b sklenitvi okvirnega sporazuma oziroma najkasneje v </w:t>
      </w:r>
      <w:r w:rsidR="00443FDC" w:rsidRPr="00122BB1">
        <w:rPr>
          <w:rFonts w:ascii="Tahoma" w:hAnsi="Tahoma" w:cs="Tahoma"/>
          <w:bCs/>
          <w:color w:val="00B050"/>
          <w:sz w:val="20"/>
        </w:rPr>
        <w:t>petnajstih (15) koledarskih dneh od dneva sklenitve okvirnega sporazuma</w:t>
      </w:r>
      <w:r w:rsidR="00443FDC" w:rsidRPr="00443FDC">
        <w:rPr>
          <w:rFonts w:ascii="Tahoma" w:hAnsi="Tahoma" w:cs="Tahoma"/>
          <w:bCs/>
          <w:color w:val="00B050"/>
          <w:sz w:val="20"/>
        </w:rPr>
        <w:t>.</w:t>
      </w:r>
    </w:p>
    <w:p w:rsidR="007C2EC1" w:rsidRDefault="007C2EC1" w:rsidP="00DC1293">
      <w:pPr>
        <w:keepNext/>
        <w:keepLines/>
        <w:ind w:right="424"/>
        <w:jc w:val="both"/>
        <w:rPr>
          <w:rFonts w:ascii="Tahoma" w:hAnsi="Tahoma" w:cs="Tahoma"/>
          <w:bCs/>
          <w:color w:val="00B050"/>
          <w:sz w:val="20"/>
        </w:rPr>
      </w:pPr>
    </w:p>
    <w:p w:rsidR="002643E2" w:rsidRDefault="008C6B61" w:rsidP="008C6B61">
      <w:pPr>
        <w:keepNext/>
        <w:keepLines/>
        <w:ind w:right="424"/>
        <w:jc w:val="both"/>
        <w:rPr>
          <w:rFonts w:ascii="Tahoma" w:hAnsi="Tahoma" w:cs="Tahoma"/>
          <w:bCs/>
          <w:color w:val="00B050"/>
          <w:sz w:val="20"/>
        </w:rPr>
      </w:pPr>
      <w:r w:rsidRPr="00F15B55">
        <w:rPr>
          <w:rFonts w:ascii="Tahoma" w:hAnsi="Tahoma" w:cs="Tahoma"/>
          <w:bCs/>
          <w:color w:val="00B050"/>
          <w:sz w:val="20"/>
        </w:rPr>
        <w:t>Naročnik spreminja razpisno dokumentacijo oziroma osnutek okvirnega sporazuma</w:t>
      </w:r>
      <w:r w:rsidR="00F15B55" w:rsidRPr="00F15B55">
        <w:rPr>
          <w:rFonts w:ascii="Tahoma" w:hAnsi="Tahoma" w:cs="Tahoma"/>
          <w:bCs/>
          <w:color w:val="00B050"/>
          <w:sz w:val="20"/>
        </w:rPr>
        <w:t xml:space="preserve"> (Priloga 11/2) </w:t>
      </w:r>
      <w:r w:rsidR="002643E2">
        <w:rPr>
          <w:rFonts w:ascii="Tahoma" w:hAnsi="Tahoma" w:cs="Tahoma"/>
          <w:bCs/>
          <w:color w:val="00B050"/>
          <w:sz w:val="20"/>
        </w:rPr>
        <w:t>na način:</w:t>
      </w:r>
    </w:p>
    <w:p w:rsidR="002643E2" w:rsidRDefault="008C6B61" w:rsidP="007F65F5">
      <w:pPr>
        <w:keepNext/>
        <w:keepLines/>
        <w:numPr>
          <w:ilvl w:val="0"/>
          <w:numId w:val="4"/>
        </w:numPr>
        <w:ind w:left="714" w:right="424" w:hanging="357"/>
        <w:jc w:val="both"/>
        <w:rPr>
          <w:rFonts w:ascii="Tahoma" w:hAnsi="Tahoma" w:cs="Tahoma"/>
          <w:bCs/>
          <w:color w:val="00B050"/>
          <w:sz w:val="20"/>
        </w:rPr>
      </w:pPr>
      <w:r w:rsidRPr="002643E2">
        <w:rPr>
          <w:rFonts w:ascii="Tahoma" w:hAnsi="Tahoma" w:cs="Tahoma"/>
          <w:bCs/>
          <w:color w:val="00B050"/>
          <w:sz w:val="20"/>
        </w:rPr>
        <w:t xml:space="preserve"> </w:t>
      </w:r>
      <w:r w:rsidRPr="004B68E9">
        <w:rPr>
          <w:rFonts w:ascii="Tahoma" w:hAnsi="Tahoma" w:cs="Tahoma"/>
          <w:bCs/>
          <w:color w:val="00B050"/>
          <w:sz w:val="20"/>
        </w:rPr>
        <w:t xml:space="preserve">da se besedilo </w:t>
      </w:r>
      <w:r w:rsidR="002643E2" w:rsidRPr="004B68E9">
        <w:rPr>
          <w:rFonts w:ascii="Tahoma" w:hAnsi="Tahoma" w:cs="Tahoma"/>
          <w:bCs/>
          <w:color w:val="00B050"/>
          <w:sz w:val="20"/>
        </w:rPr>
        <w:t>zadnje alineje prvega odstavka 14. člena okvirnega sporazuma</w:t>
      </w:r>
      <w:r w:rsidR="001E6FB5">
        <w:rPr>
          <w:rFonts w:ascii="Tahoma" w:hAnsi="Tahoma" w:cs="Tahoma"/>
          <w:bCs/>
          <w:color w:val="00B050"/>
          <w:sz w:val="20"/>
        </w:rPr>
        <w:t>,</w:t>
      </w:r>
      <w:r w:rsidR="002643E2" w:rsidRPr="004B68E9">
        <w:rPr>
          <w:rFonts w:ascii="Tahoma" w:hAnsi="Tahoma" w:cs="Tahoma"/>
          <w:bCs/>
          <w:color w:val="00B050"/>
          <w:sz w:val="20"/>
        </w:rPr>
        <w:t xml:space="preserve"> po spremembi glasi: »</w:t>
      </w:r>
      <w:r w:rsidR="002643E2" w:rsidRPr="004B68E9">
        <w:rPr>
          <w:rFonts w:ascii="Tahoma" w:hAnsi="Tahoma" w:cs="Tahoma"/>
          <w:bCs/>
          <w:i/>
          <w:color w:val="00B050"/>
          <w:sz w:val="20"/>
        </w:rPr>
        <w:t>zavarovati</w:t>
      </w:r>
      <w:r w:rsidR="002643E2" w:rsidRPr="00122BB1">
        <w:rPr>
          <w:rFonts w:ascii="Tahoma" w:hAnsi="Tahoma" w:cs="Tahoma"/>
          <w:bCs/>
          <w:i/>
          <w:color w:val="00B050"/>
          <w:sz w:val="20"/>
        </w:rPr>
        <w:t xml:space="preserve"> posamezni prevoz gotovine in vrednostnih pošiljk pri zavarovalnici, pri čemer se izvajalec obvezuje,  da bo ob sklenitvi okvirnega sporazuma oziroma najkasneje v petnajstih (15) koledarskih dneh od dneva sklenitve okvirnega sporazuma, v skladu z drugim odstavkom 6. člena Pravilnika o načinu prevoza in varovanja gotovine ter drugih vrednostnih pošiljk (Uradni list RS, št. </w:t>
      </w:r>
      <w:hyperlink r:id="rId8" w:tgtFrame="_blank" w:tooltip="Pravilnik o načinu prevoza in varovanja gotovine ter drugih vrednostnih pošiljk" w:history="1">
        <w:r w:rsidR="002643E2" w:rsidRPr="00122BB1">
          <w:rPr>
            <w:rFonts w:ascii="Tahoma" w:hAnsi="Tahoma" w:cs="Tahoma"/>
            <w:bCs/>
            <w:i/>
            <w:color w:val="00B050"/>
            <w:sz w:val="20"/>
          </w:rPr>
          <w:t>88/16</w:t>
        </w:r>
      </w:hyperlink>
      <w:r w:rsidR="002643E2" w:rsidRPr="00122BB1">
        <w:rPr>
          <w:rFonts w:ascii="Tahoma" w:hAnsi="Tahoma" w:cs="Tahoma"/>
          <w:bCs/>
          <w:i/>
          <w:color w:val="00B050"/>
          <w:sz w:val="20"/>
        </w:rPr>
        <w:t>), naročniku predložil fotokopijo zavarovalne police ali potrdilo zavarovalnice o zavarovanju prevoza (gotovine) varovanih pošiljk (v nadaljevanju tudi: zavarovanje prevoza gotovine), iz katere bo razvidno najmanj naziv zavaro</w:t>
      </w:r>
      <w:r w:rsidR="00645D57">
        <w:rPr>
          <w:rFonts w:ascii="Tahoma" w:hAnsi="Tahoma" w:cs="Tahoma"/>
          <w:bCs/>
          <w:i/>
          <w:color w:val="00B050"/>
          <w:sz w:val="20"/>
        </w:rPr>
        <w:t>valnice, pri kateri ima izvajalec</w:t>
      </w:r>
      <w:r w:rsidR="002643E2" w:rsidRPr="00122BB1">
        <w:rPr>
          <w:rFonts w:ascii="Tahoma" w:hAnsi="Tahoma" w:cs="Tahoma"/>
          <w:bCs/>
          <w:i/>
          <w:color w:val="00B050"/>
          <w:sz w:val="20"/>
        </w:rPr>
        <w:t xml:space="preserve"> sklenjeno zavarovanje, čas trajanja zavarovanja, opis odgovornosti na katere se zavarovanje nanaša  (velja samo za naročnika LPP)</w:t>
      </w:r>
      <w:r w:rsidR="002643E2" w:rsidRPr="002643E2">
        <w:rPr>
          <w:rFonts w:ascii="Tahoma" w:hAnsi="Tahoma" w:cs="Tahoma"/>
          <w:bCs/>
          <w:color w:val="00B050"/>
          <w:sz w:val="20"/>
        </w:rPr>
        <w:t>«</w:t>
      </w:r>
      <w:r w:rsidR="002643E2">
        <w:rPr>
          <w:rFonts w:ascii="Tahoma" w:hAnsi="Tahoma" w:cs="Tahoma"/>
          <w:bCs/>
          <w:color w:val="00B050"/>
          <w:sz w:val="20"/>
        </w:rPr>
        <w:t>,</w:t>
      </w:r>
    </w:p>
    <w:p w:rsidR="00122BB1" w:rsidRPr="00CE13B8" w:rsidRDefault="002643E2" w:rsidP="007F65F5">
      <w:pPr>
        <w:keepNext/>
        <w:keepLines/>
        <w:numPr>
          <w:ilvl w:val="0"/>
          <w:numId w:val="4"/>
        </w:numPr>
        <w:ind w:left="714" w:right="424" w:hanging="357"/>
        <w:jc w:val="both"/>
        <w:rPr>
          <w:rFonts w:ascii="Tahoma" w:hAnsi="Tahoma" w:cs="Tahoma"/>
          <w:b/>
          <w:sz w:val="20"/>
          <w:lang w:eastAsia="en-US"/>
        </w:rPr>
      </w:pPr>
      <w:r w:rsidRPr="002643E2">
        <w:rPr>
          <w:rFonts w:ascii="Tahoma" w:hAnsi="Tahoma" w:cs="Tahoma"/>
          <w:bCs/>
          <w:color w:val="00B050"/>
          <w:sz w:val="20"/>
        </w:rPr>
        <w:lastRenderedPageBreak/>
        <w:t xml:space="preserve">da </w:t>
      </w:r>
      <w:r w:rsidRPr="00122BB1">
        <w:rPr>
          <w:rFonts w:ascii="Tahoma" w:hAnsi="Tahoma" w:cs="Tahoma"/>
          <w:bCs/>
          <w:color w:val="00B050"/>
          <w:sz w:val="20"/>
        </w:rPr>
        <w:t>se besedilo</w:t>
      </w:r>
      <w:r w:rsidR="00122BB1" w:rsidRPr="00122BB1">
        <w:rPr>
          <w:rFonts w:ascii="Tahoma" w:hAnsi="Tahoma" w:cs="Tahoma"/>
          <w:bCs/>
          <w:color w:val="00B050"/>
          <w:sz w:val="20"/>
        </w:rPr>
        <w:t xml:space="preserve"> v. členu</w:t>
      </w:r>
      <w:r w:rsidRPr="00122BB1">
        <w:rPr>
          <w:rFonts w:ascii="Tahoma" w:hAnsi="Tahoma" w:cs="Tahoma"/>
          <w:bCs/>
          <w:color w:val="00B050"/>
          <w:sz w:val="20"/>
        </w:rPr>
        <w:t xml:space="preserve"> okvirnega sporazuma (</w:t>
      </w:r>
      <w:r w:rsidR="00122BB1" w:rsidRPr="00122BB1">
        <w:rPr>
          <w:rFonts w:ascii="Tahoma" w:hAnsi="Tahoma" w:cs="Tahoma"/>
          <w:bCs/>
          <w:color w:val="00B050"/>
          <w:sz w:val="20"/>
        </w:rPr>
        <w:t xml:space="preserve">v delu OBVEZNOSTI IZVAJALCA - </w:t>
      </w:r>
      <w:r w:rsidRPr="00122BB1">
        <w:rPr>
          <w:rFonts w:ascii="Tahoma" w:hAnsi="Tahoma" w:cs="Tahoma"/>
          <w:bCs/>
          <w:color w:val="00B050"/>
          <w:sz w:val="20"/>
        </w:rPr>
        <w:t>velja za naročnika ŽALE)</w:t>
      </w:r>
      <w:r w:rsidR="00122BB1" w:rsidRPr="00122BB1">
        <w:rPr>
          <w:rFonts w:ascii="Tahoma" w:hAnsi="Tahoma" w:cs="Tahoma"/>
          <w:bCs/>
          <w:color w:val="00B050"/>
          <w:sz w:val="20"/>
        </w:rPr>
        <w:t xml:space="preserve">, in </w:t>
      </w:r>
      <w:r w:rsidR="00122BB1" w:rsidRPr="00122BB1">
        <w:rPr>
          <w:rFonts w:ascii="Tahoma" w:hAnsi="Tahoma" w:cs="Tahoma"/>
          <w:color w:val="00B050"/>
          <w:sz w:val="20"/>
          <w:lang w:eastAsia="en-US"/>
        </w:rPr>
        <w:t xml:space="preserve">sicer besedilo v zadnji alineji prvega odstavka podtočke A) Splošne obveznosti, </w:t>
      </w:r>
      <w:r w:rsidRPr="00122BB1">
        <w:rPr>
          <w:rFonts w:ascii="Tahoma" w:hAnsi="Tahoma" w:cs="Tahoma"/>
          <w:color w:val="00B050"/>
          <w:sz w:val="20"/>
          <w:lang w:eastAsia="en-US"/>
        </w:rPr>
        <w:t>po spremembi glasi:</w:t>
      </w:r>
      <w:r w:rsidR="00122BB1" w:rsidRPr="00122BB1">
        <w:rPr>
          <w:rFonts w:ascii="Tahoma" w:hAnsi="Tahoma" w:cs="Tahoma"/>
          <w:color w:val="00B050"/>
          <w:sz w:val="20"/>
          <w:lang w:eastAsia="en-US"/>
        </w:rPr>
        <w:t xml:space="preserve"> »</w:t>
      </w:r>
      <w:r w:rsidR="00122BB1" w:rsidRPr="00122BB1">
        <w:rPr>
          <w:rFonts w:ascii="Tahoma" w:hAnsi="Tahoma" w:cs="Tahoma"/>
          <w:i/>
          <w:color w:val="00B050"/>
          <w:sz w:val="20"/>
          <w:lang w:eastAsia="en-US"/>
        </w:rPr>
        <w:t>zavarovati posamezni prevoz gotovine pri zavarovalnici, pri čemer se izvajalec obvezuje,  da bo ob sklenitvi okvirnega sporazuma oziroma najkasneje v petnajstih (15) koledarskih dneh od dneva sklenitve okvirnega sporazuma, v skladu z drugim odstavkom 6. člena Pravilnika o načinu prevoza in varovanja gotovine ter drugih vrednostnih pošiljk (Uradni list RS, št. </w:t>
      </w:r>
      <w:hyperlink r:id="rId9" w:tgtFrame="_blank" w:tooltip="Pravilnik o načinu prevoza in varovanja gotovine ter drugih vrednostnih pošiljk" w:history="1">
        <w:r w:rsidR="00122BB1" w:rsidRPr="00122BB1">
          <w:rPr>
            <w:rFonts w:ascii="Tahoma" w:hAnsi="Tahoma" w:cs="Tahoma"/>
            <w:i/>
            <w:color w:val="00B050"/>
            <w:sz w:val="20"/>
            <w:lang w:eastAsia="en-US"/>
          </w:rPr>
          <w:t>88/16</w:t>
        </w:r>
      </w:hyperlink>
      <w:r w:rsidR="00122BB1" w:rsidRPr="00122BB1">
        <w:rPr>
          <w:rFonts w:ascii="Tahoma" w:hAnsi="Tahoma" w:cs="Tahoma"/>
          <w:i/>
          <w:color w:val="00B050"/>
          <w:sz w:val="20"/>
          <w:lang w:eastAsia="en-US"/>
        </w:rPr>
        <w:t>), naročniku predložil fotokopijo zavarovalne police ali potrdilo zavarovalnice o zavarovanju prevoza (gotovine) varovanih pošiljk (v nadaljevanju tudi: zavarovanje prevoza gotovine), iz katere bo razvidno najmanj naziv zavaro</w:t>
      </w:r>
      <w:r w:rsidR="00645D57">
        <w:rPr>
          <w:rFonts w:ascii="Tahoma" w:hAnsi="Tahoma" w:cs="Tahoma"/>
          <w:i/>
          <w:color w:val="00B050"/>
          <w:sz w:val="20"/>
          <w:lang w:eastAsia="en-US"/>
        </w:rPr>
        <w:t>valnice, pri kateri ima izvajalec</w:t>
      </w:r>
      <w:r w:rsidR="00122BB1" w:rsidRPr="00122BB1">
        <w:rPr>
          <w:rFonts w:ascii="Tahoma" w:hAnsi="Tahoma" w:cs="Tahoma"/>
          <w:i/>
          <w:color w:val="00B050"/>
          <w:sz w:val="20"/>
          <w:lang w:eastAsia="en-US"/>
        </w:rPr>
        <w:t xml:space="preserve"> sklenjeno zavarovanje, čas trajanja zavarovanja, opis odgovornosti na katere se zavarovanje nanaša</w:t>
      </w:r>
      <w:r w:rsidR="00122BB1" w:rsidRPr="00122BB1">
        <w:rPr>
          <w:rFonts w:ascii="Tahoma" w:hAnsi="Tahoma" w:cs="Tahoma"/>
          <w:color w:val="00B050"/>
          <w:sz w:val="20"/>
          <w:lang w:eastAsia="en-US"/>
        </w:rPr>
        <w:t>.«</w:t>
      </w:r>
      <w:r w:rsidR="00CE13B8">
        <w:rPr>
          <w:rFonts w:ascii="Tahoma" w:hAnsi="Tahoma" w:cs="Tahoma"/>
          <w:color w:val="00B050"/>
          <w:sz w:val="20"/>
          <w:lang w:eastAsia="en-US"/>
        </w:rPr>
        <w:t xml:space="preserve">, </w:t>
      </w:r>
    </w:p>
    <w:p w:rsidR="00E73C9D" w:rsidRPr="00CE13B8" w:rsidRDefault="00122BB1" w:rsidP="007F65F5">
      <w:pPr>
        <w:keepNext/>
        <w:keepLines/>
        <w:numPr>
          <w:ilvl w:val="0"/>
          <w:numId w:val="4"/>
        </w:numPr>
        <w:ind w:left="714" w:right="424" w:hanging="357"/>
        <w:jc w:val="both"/>
        <w:rPr>
          <w:rFonts w:ascii="Tahoma" w:hAnsi="Tahoma" w:cs="Tahoma"/>
          <w:b/>
          <w:sz w:val="20"/>
          <w:lang w:eastAsia="en-US"/>
        </w:rPr>
      </w:pPr>
      <w:r w:rsidRPr="00CE13B8">
        <w:rPr>
          <w:rFonts w:ascii="Tahoma" w:hAnsi="Tahoma" w:cs="Tahoma"/>
          <w:bCs/>
          <w:color w:val="00B050"/>
          <w:sz w:val="20"/>
        </w:rPr>
        <w:t xml:space="preserve">da se besedilo </w:t>
      </w:r>
      <w:r w:rsidR="008C6B61" w:rsidRPr="00CE13B8">
        <w:rPr>
          <w:rFonts w:ascii="Tahoma" w:hAnsi="Tahoma" w:cs="Tahoma"/>
          <w:bCs/>
          <w:color w:val="00B050"/>
          <w:sz w:val="20"/>
        </w:rPr>
        <w:t xml:space="preserve">drugega </w:t>
      </w:r>
      <w:r w:rsidR="00F15B55" w:rsidRPr="00CE13B8">
        <w:rPr>
          <w:rFonts w:ascii="Tahoma" w:hAnsi="Tahoma" w:cs="Tahoma"/>
          <w:bCs/>
          <w:color w:val="00B050"/>
          <w:sz w:val="20"/>
        </w:rPr>
        <w:t>odstavka 20</w:t>
      </w:r>
      <w:r w:rsidR="008C6B61" w:rsidRPr="00CE13B8">
        <w:rPr>
          <w:rFonts w:ascii="Tahoma" w:hAnsi="Tahoma" w:cs="Tahoma"/>
          <w:bCs/>
          <w:color w:val="00B050"/>
          <w:sz w:val="20"/>
        </w:rPr>
        <w:t>. člena osnutka okvirnega sporazuma</w:t>
      </w:r>
      <w:r w:rsidR="00F15B55" w:rsidRPr="00CE13B8">
        <w:rPr>
          <w:rFonts w:ascii="Tahoma" w:hAnsi="Tahoma" w:cs="Tahoma"/>
          <w:bCs/>
          <w:color w:val="00B050"/>
          <w:sz w:val="20"/>
        </w:rPr>
        <w:t xml:space="preserve"> (Priloga</w:t>
      </w:r>
      <w:r w:rsidR="008C6B61" w:rsidRPr="00CE13B8">
        <w:rPr>
          <w:rFonts w:ascii="Tahoma" w:hAnsi="Tahoma" w:cs="Tahoma"/>
          <w:bCs/>
          <w:color w:val="00B050"/>
          <w:sz w:val="20"/>
        </w:rPr>
        <w:t xml:space="preserve"> 11/2) po spremembi glasi</w:t>
      </w:r>
      <w:r w:rsidRPr="00CE13B8">
        <w:rPr>
          <w:rFonts w:ascii="Tahoma" w:hAnsi="Tahoma" w:cs="Tahoma"/>
          <w:bCs/>
          <w:color w:val="00B050"/>
          <w:sz w:val="20"/>
        </w:rPr>
        <w:t>: «</w:t>
      </w:r>
      <w:r w:rsidR="007F65F5" w:rsidRPr="00CE13B8">
        <w:rPr>
          <w:rFonts w:ascii="Tahoma" w:hAnsi="Tahoma" w:cs="Tahoma"/>
          <w:bCs/>
          <w:i/>
          <w:color w:val="00B050"/>
          <w:sz w:val="20"/>
        </w:rPr>
        <w:t>Predložitev finančnega zavarovanja dobre izvedbe obveznosti iz okvirnega sporazuma (in predložitev zavarovanja prevoza gotovine iz 14 (LPP). oziroma iz 15 (ŽALE). člena okvirnega sporazuma; besedilo v oklepaju velja za Sklop št. 3: LPP in Sklop št. 5: ŽALE) je pogoj za veljavnost tega okvirnega sporazuma. V kolikor izvajalec v roku iz prvega odstavka tega člena naročniku ne predloži finančnega zavarovanja za zavarovanje dobre izvedbe obveznosti iz okvirnega sporazuma, v višini in z veljavnostjo iz prvega odstavka tega člena (in zavarovanje prevoza gotovine iz 14 (LPP). oziroma iz 15 (ŽALE). člena okvirnega sporazuma; besedilo v oklepaju velja za Sklop št. 3: LPP in Sklop št. 5: ŽALE,) se šteje, da okvirni sporazum ni bil nikoli sklenjen, naročnik pa bo Državni revizijski komisiji predlagal, da uvede postopek o prekršku iz 112. člena ZJN-3.</w:t>
      </w:r>
      <w:r w:rsidR="00E73C9D" w:rsidRPr="00CE13B8">
        <w:rPr>
          <w:rFonts w:ascii="Tahoma" w:hAnsi="Tahoma" w:cs="Tahoma"/>
          <w:bCs/>
          <w:color w:val="00B050"/>
          <w:sz w:val="20"/>
        </w:rPr>
        <w:t>«</w:t>
      </w:r>
    </w:p>
    <w:p w:rsidR="007F65F5" w:rsidRDefault="007F65F5" w:rsidP="007F65F5">
      <w:pPr>
        <w:keepNext/>
        <w:keepLines/>
        <w:jc w:val="both"/>
        <w:rPr>
          <w:rFonts w:ascii="Tahoma" w:hAnsi="Tahoma" w:cs="Tahoma"/>
          <w:bCs/>
          <w:color w:val="00B050"/>
          <w:sz w:val="20"/>
        </w:rPr>
      </w:pPr>
    </w:p>
    <w:p w:rsidR="001E6FB5" w:rsidRPr="001A7ED0" w:rsidRDefault="001E6FB5" w:rsidP="001E6FB5">
      <w:pPr>
        <w:keepNext/>
        <w:keepLines/>
        <w:ind w:right="424"/>
        <w:jc w:val="both"/>
        <w:rPr>
          <w:rFonts w:ascii="Tahoma" w:hAnsi="Tahoma" w:cs="Tahoma"/>
          <w:bCs/>
          <w:color w:val="00B050"/>
          <w:sz w:val="20"/>
        </w:rPr>
      </w:pPr>
      <w:r w:rsidRPr="001A7ED0">
        <w:rPr>
          <w:rFonts w:ascii="Tahoma" w:hAnsi="Tahoma" w:cs="Tahoma"/>
          <w:bCs/>
          <w:color w:val="00B050"/>
          <w:sz w:val="20"/>
        </w:rPr>
        <w:t>Naročnik spreminja</w:t>
      </w:r>
      <w:r w:rsidR="00C150BB" w:rsidRPr="001A7ED0">
        <w:rPr>
          <w:rFonts w:ascii="Tahoma" w:hAnsi="Tahoma" w:cs="Tahoma"/>
          <w:bCs/>
          <w:color w:val="00B050"/>
          <w:sz w:val="20"/>
        </w:rPr>
        <w:t xml:space="preserve"> tudi </w:t>
      </w:r>
      <w:r w:rsidRPr="001A7ED0">
        <w:rPr>
          <w:rFonts w:ascii="Tahoma" w:hAnsi="Tahoma" w:cs="Tahoma"/>
          <w:bCs/>
          <w:color w:val="00B050"/>
          <w:sz w:val="20"/>
        </w:rPr>
        <w:t xml:space="preserve">razpisno dokumentacijo oziroma Prilogo 6 (DOVOLJENJA, LICENCE, DOKAZILA, POOBLASTILA, POTRDILA) razpisne dokumentacije na način,  da se </w:t>
      </w:r>
      <w:r w:rsidR="00826F04" w:rsidRPr="001A7ED0">
        <w:rPr>
          <w:rFonts w:ascii="Tahoma" w:hAnsi="Tahoma" w:cs="Tahoma"/>
          <w:bCs/>
          <w:color w:val="00B050"/>
          <w:sz w:val="20"/>
        </w:rPr>
        <w:t>spremeni besedilo</w:t>
      </w:r>
      <w:r w:rsidRPr="001A7ED0">
        <w:rPr>
          <w:rFonts w:ascii="Tahoma" w:hAnsi="Tahoma" w:cs="Tahoma"/>
          <w:bCs/>
          <w:color w:val="00B050"/>
          <w:sz w:val="20"/>
        </w:rPr>
        <w:t xml:space="preserve"> v točki 1 Posebne zahteve</w:t>
      </w:r>
      <w:r w:rsidR="00826F04" w:rsidRPr="001A7ED0">
        <w:rPr>
          <w:rFonts w:ascii="Tahoma" w:hAnsi="Tahoma" w:cs="Tahoma"/>
          <w:bCs/>
          <w:color w:val="00B050"/>
          <w:sz w:val="20"/>
        </w:rPr>
        <w:t>, ki se po spremembi glasi: »Fotokopija zavarovalne police za zavarovanje gotovine na poti (velja za sklop št. 3: LPP in Sklop št. 5: ŽALE) – ni potrebno prilagati k ponudbeni dokumentaciji.«</w:t>
      </w:r>
    </w:p>
    <w:p w:rsidR="001E6FB5" w:rsidRPr="001A7ED0" w:rsidRDefault="001E6FB5" w:rsidP="00826F04">
      <w:pPr>
        <w:keepNext/>
        <w:keepLines/>
        <w:ind w:right="424"/>
        <w:jc w:val="both"/>
        <w:rPr>
          <w:rFonts w:ascii="Tahoma" w:hAnsi="Tahoma" w:cs="Tahoma"/>
          <w:bCs/>
          <w:color w:val="00B050"/>
          <w:sz w:val="20"/>
        </w:rPr>
      </w:pPr>
    </w:p>
    <w:p w:rsidR="00826F04" w:rsidRPr="00826F04" w:rsidRDefault="007F65F5" w:rsidP="00826F04">
      <w:pPr>
        <w:keepNext/>
        <w:keepLines/>
        <w:pBdr>
          <w:bottom w:val="single" w:sz="4" w:space="1" w:color="auto"/>
        </w:pBdr>
        <w:ind w:right="424"/>
        <w:jc w:val="both"/>
        <w:rPr>
          <w:rFonts w:ascii="Tahoma" w:hAnsi="Tahoma" w:cs="Tahoma"/>
          <w:color w:val="00B050"/>
          <w:sz w:val="20"/>
        </w:rPr>
      </w:pPr>
      <w:r w:rsidRPr="001A7ED0">
        <w:rPr>
          <w:rFonts w:ascii="Tahoma" w:hAnsi="Tahoma" w:cs="Tahoma"/>
          <w:bCs/>
          <w:color w:val="00B050"/>
          <w:sz w:val="20"/>
        </w:rPr>
        <w:t xml:space="preserve">Navedena sprememba je razvidna </w:t>
      </w:r>
      <w:r w:rsidR="00CE13B8" w:rsidRPr="001A7ED0">
        <w:rPr>
          <w:rFonts w:ascii="Tahoma" w:hAnsi="Tahoma" w:cs="Tahoma"/>
          <w:bCs/>
          <w:color w:val="00B050"/>
          <w:sz w:val="20"/>
        </w:rPr>
        <w:t xml:space="preserve">tudi </w:t>
      </w:r>
      <w:r w:rsidRPr="001A7ED0">
        <w:rPr>
          <w:rFonts w:ascii="Tahoma" w:hAnsi="Tahoma" w:cs="Tahoma"/>
          <w:bCs/>
          <w:color w:val="00B050"/>
          <w:sz w:val="20"/>
        </w:rPr>
        <w:t xml:space="preserve">iz </w:t>
      </w:r>
      <w:r w:rsidR="00443FDC" w:rsidRPr="001A7ED0">
        <w:rPr>
          <w:rFonts w:ascii="Tahoma" w:hAnsi="Tahoma" w:cs="Tahoma"/>
          <w:bCs/>
          <w:color w:val="00B050"/>
          <w:sz w:val="20"/>
        </w:rPr>
        <w:t xml:space="preserve">spremenjene Priloge 6 </w:t>
      </w:r>
      <w:r w:rsidR="00CE13B8" w:rsidRPr="001A7ED0">
        <w:rPr>
          <w:rFonts w:ascii="Tahoma" w:hAnsi="Tahoma" w:cs="Tahoma"/>
          <w:bCs/>
          <w:color w:val="00B050"/>
          <w:sz w:val="20"/>
        </w:rPr>
        <w:t>(DOVOLJENJA, LICENCE, DOKA</w:t>
      </w:r>
      <w:r w:rsidR="00C150BB" w:rsidRPr="001A7ED0">
        <w:rPr>
          <w:rFonts w:ascii="Tahoma" w:hAnsi="Tahoma" w:cs="Tahoma"/>
          <w:bCs/>
          <w:color w:val="00B050"/>
          <w:sz w:val="20"/>
        </w:rPr>
        <w:t xml:space="preserve">ZILA, POOBLASTILA, POTRDILA) in </w:t>
      </w:r>
      <w:r w:rsidRPr="001A7ED0">
        <w:rPr>
          <w:rFonts w:ascii="Tahoma" w:hAnsi="Tahoma" w:cs="Tahoma"/>
          <w:bCs/>
          <w:color w:val="00B050"/>
          <w:sz w:val="20"/>
        </w:rPr>
        <w:t xml:space="preserve">spremenjenega osnutka okvirnega sporazuma (Priloga 11/2) oziroma iz spremenjene razpisne dokumentacije, ki je objavljena na Portalu javnih naročil in vsebuje navedene spremembe. </w:t>
      </w:r>
      <w:r w:rsidR="00826F04" w:rsidRPr="001A7ED0">
        <w:rPr>
          <w:rFonts w:ascii="Tahoma" w:hAnsi="Tahoma" w:cs="Tahoma"/>
          <w:bCs/>
          <w:color w:val="00B050"/>
          <w:sz w:val="20"/>
        </w:rPr>
        <w:t>Ponudnik, ki oddaja ponudbo za posamezni sklop predmeta javnega naročila mora pri pripravi in oddaji ponudbe upoštevati navedeno spremembo razpisne dokumentacije z dne 9. 10. 2023 in ponudbo oddati na spremenjeni Prilogi 6 z dne 9. 10. 2023.</w:t>
      </w:r>
    </w:p>
    <w:p w:rsidR="006B5EAA" w:rsidRDefault="006B5EAA" w:rsidP="00DC1293">
      <w:pPr>
        <w:keepNext/>
        <w:keepLines/>
        <w:ind w:right="424"/>
        <w:jc w:val="both"/>
        <w:rPr>
          <w:rFonts w:ascii="Tahoma" w:hAnsi="Tahoma" w:cs="Tahoma"/>
          <w:bCs/>
          <w:color w:val="00B050"/>
          <w:sz w:val="20"/>
        </w:rPr>
      </w:pPr>
    </w:p>
    <w:p w:rsidR="00BA1780" w:rsidRPr="008F64E7" w:rsidRDefault="00BA1780" w:rsidP="00BA178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BA1780">
        <w:rPr>
          <w:rFonts w:ascii="Helvetica" w:hAnsi="Helvetica" w:cs="Helvetica"/>
          <w:bCs/>
          <w:color w:val="FF0000"/>
          <w:sz w:val="21"/>
          <w:szCs w:val="21"/>
        </w:rPr>
        <w:t xml:space="preserve">Datum prejema: </w:t>
      </w:r>
      <w:r w:rsidR="007C2EC1">
        <w:rPr>
          <w:rFonts w:ascii="Helvetica" w:hAnsi="Helvetica" w:cs="Helvetica"/>
          <w:bCs/>
          <w:color w:val="FF0000"/>
          <w:sz w:val="21"/>
          <w:szCs w:val="21"/>
        </w:rPr>
        <w:t>05.10.2023   12:58</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Točka III: Vrednost okvirnega sporazuma in cene</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Povišanje cen na enoto mere, navedenih v ponudbenem predračunu se lahko, v povezavi s 1. točko prvega odstavka 95. člena ZJN-3, prvič izvede:</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br/>
        <w:t>- po preteku enega (1) leta, šteto od dneva sklenitve okvirnega sporazuma in</w:t>
      </w:r>
      <w:r w:rsidRPr="007C2EC1">
        <w:rPr>
          <w:rFonts w:ascii="Tahoma" w:hAnsi="Tahoma" w:cs="Tahoma"/>
          <w:bCs/>
          <w:sz w:val="20"/>
        </w:rPr>
        <w:br/>
        <w:t>- ko kumulativno povečanje indeksa cen življenjskih potrebščin oziroma stopnja inflacije (v nadaljevanju: indeks cen življenjskih potrebščin), po podatkih Statističnega urada RS (vir: https://www.stat.si/inflacija), preseže 5% (pet odstotkov) vrednosti, šteto od dneva sklenitve okvirnega sporazuma (mesec in leto sklenitve okvirnega sporazuma).</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br/>
        <w:t>Povišanje cen lahko znaša največ sedemdeset odstotkov (70 %) povečanja indeksa cen življenjskih potrebščin. Nadaljnja povišanja cen se lahko izvedejo, ko kumulativno povečanje indeksa cen življenjskih potrebščin, po podatkih Statističnega urada RS, ponovno preseže 5% (pet odstotkov) vrednosti, šteto od zadnjega povišanja cen (prvi naslednji mesec, ki ni bil zajet v obdobje zadnjega izračuna).</w:t>
      </w:r>
      <w:r w:rsidRPr="007C2EC1">
        <w:rPr>
          <w:rFonts w:ascii="Tahoma" w:hAnsi="Tahoma" w:cs="Tahoma"/>
          <w:bCs/>
          <w:sz w:val="20"/>
        </w:rPr>
        <w:br/>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lastRenderedPageBreak/>
        <w:t>Pravilnik o načinih valorizacije denarnih obveznosti, ki jih v večletnih pogodbah dogovarjajo pravne osebe javnega sektorja, v 6. členu navaja da:</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Valorizacija denarnih obveznosti, ki temelji na povišanju indeksa cen iz 1. točke prvega odstavka prejšnjega člena, se lahko prvič izvede:</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1. po preteku enega leta od sklenitve pogodbe in</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2. ko kumulativno povečanje dogovorjenega indeksa cen preseže 4% vrednosti, šteto od preteka enega leta od sklenitve pogodbe.</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Nadaljnja povišanja se lahko izvedejo, ko kumulativno povečanje dogovorjenega indeksa cen ponovno preseže 4% vrednosti od zadnjega povišanja denarnih obveznosti.</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t>Povišanje denarnih obveznosti lahko znaša največ 80% povišanja indeksa cen iz prvega in drugega odstavka tega člena.</w:t>
      </w:r>
    </w:p>
    <w:p w:rsidR="007C2EC1" w:rsidRDefault="007C2EC1" w:rsidP="007C2EC1">
      <w:pPr>
        <w:keepNext/>
        <w:keepLines/>
        <w:ind w:right="424"/>
        <w:jc w:val="both"/>
        <w:rPr>
          <w:rFonts w:ascii="Tahoma" w:hAnsi="Tahoma" w:cs="Tahoma"/>
          <w:bCs/>
          <w:sz w:val="20"/>
        </w:rPr>
      </w:pPr>
      <w:r w:rsidRPr="007C2EC1">
        <w:rPr>
          <w:rFonts w:ascii="Tahoma" w:hAnsi="Tahoma" w:cs="Tahoma"/>
          <w:bCs/>
          <w:sz w:val="20"/>
        </w:rPr>
        <w:br/>
        <w:t>Prosimo, da vaš pogoj (5% pet odstotkov vrednosti) zamenjate s pogojem, ki je objavljen v Pravilniku o valorizaciji (4% štiri odstotke vrednosti).</w:t>
      </w:r>
    </w:p>
    <w:p w:rsidR="004B68E9" w:rsidRDefault="004B68E9" w:rsidP="00BA1780">
      <w:pPr>
        <w:keepNext/>
        <w:keepLines/>
        <w:ind w:right="424"/>
        <w:jc w:val="both"/>
        <w:rPr>
          <w:rFonts w:ascii="Tahoma" w:hAnsi="Tahoma" w:cs="Tahoma"/>
          <w:bCs/>
          <w:sz w:val="20"/>
        </w:rPr>
      </w:pPr>
    </w:p>
    <w:p w:rsidR="00BA1780" w:rsidRPr="004B68E9" w:rsidRDefault="00BA1780" w:rsidP="00BA1780">
      <w:pPr>
        <w:keepNext/>
        <w:keepLines/>
        <w:tabs>
          <w:tab w:val="left" w:pos="8505"/>
        </w:tabs>
        <w:spacing w:after="120"/>
        <w:jc w:val="both"/>
        <w:rPr>
          <w:rFonts w:ascii="Tahoma" w:hAnsi="Tahoma" w:cs="Tahoma"/>
          <w:color w:val="00B050"/>
          <w:sz w:val="20"/>
        </w:rPr>
      </w:pPr>
      <w:r w:rsidRPr="004B68E9">
        <w:rPr>
          <w:rFonts w:ascii="Tahoma" w:hAnsi="Tahoma" w:cs="Tahoma"/>
          <w:color w:val="00B050"/>
          <w:sz w:val="20"/>
        </w:rPr>
        <w:t>ODGOVOR:</w:t>
      </w:r>
    </w:p>
    <w:p w:rsidR="00EB7714" w:rsidRPr="004B68E9" w:rsidRDefault="007C2EC1" w:rsidP="00D72B4E">
      <w:pPr>
        <w:keepNext/>
        <w:keepLines/>
        <w:ind w:right="424"/>
        <w:jc w:val="both"/>
        <w:rPr>
          <w:rFonts w:ascii="Tahoma" w:hAnsi="Tahoma" w:cs="Tahoma"/>
          <w:bCs/>
          <w:color w:val="00B050"/>
          <w:sz w:val="20"/>
        </w:rPr>
      </w:pPr>
      <w:r w:rsidRPr="004B68E9">
        <w:rPr>
          <w:rFonts w:ascii="Tahoma" w:eastAsia="Arial Unicode MS" w:hAnsi="Tahoma" w:cs="Tahoma"/>
          <w:bCs/>
          <w:color w:val="00B050"/>
          <w:sz w:val="20"/>
        </w:rPr>
        <w:t>Naročnik se strinja s predlogom gospodarskega subjekta. Naročnik spreminja razpisno</w:t>
      </w:r>
      <w:r w:rsidR="00D72B4E" w:rsidRPr="004B68E9">
        <w:rPr>
          <w:rFonts w:ascii="Tahoma" w:eastAsia="Arial Unicode MS" w:hAnsi="Tahoma" w:cs="Tahoma"/>
          <w:bCs/>
          <w:color w:val="00B050"/>
          <w:sz w:val="20"/>
        </w:rPr>
        <w:t xml:space="preserve"> dokumentacijo na način, da se vrednost oziroma besedilo </w:t>
      </w:r>
      <w:r w:rsidR="00D72B4E" w:rsidRPr="004B68E9">
        <w:rPr>
          <w:rFonts w:ascii="Tahoma" w:hAnsi="Tahoma" w:cs="Tahoma"/>
          <w:bCs/>
          <w:color w:val="00B050"/>
          <w:sz w:val="20"/>
        </w:rPr>
        <w:t xml:space="preserve">»5% </w:t>
      </w:r>
      <w:r w:rsidR="006B5EAA" w:rsidRPr="004B68E9">
        <w:rPr>
          <w:rFonts w:ascii="Tahoma" w:hAnsi="Tahoma" w:cs="Tahoma"/>
          <w:bCs/>
          <w:color w:val="00B050"/>
          <w:sz w:val="20"/>
        </w:rPr>
        <w:t>(pet odstotkov)«, ki je navedena</w:t>
      </w:r>
      <w:r w:rsidR="00D72B4E" w:rsidRPr="004B68E9">
        <w:rPr>
          <w:rFonts w:ascii="Tahoma" w:hAnsi="Tahoma" w:cs="Tahoma"/>
          <w:bCs/>
          <w:color w:val="00B050"/>
          <w:sz w:val="20"/>
        </w:rPr>
        <w:t xml:space="preserve"> </w:t>
      </w:r>
      <w:r w:rsidR="006B5EAA" w:rsidRPr="004B68E9">
        <w:rPr>
          <w:rFonts w:ascii="Tahoma" w:hAnsi="Tahoma" w:cs="Tahoma"/>
          <w:bCs/>
          <w:color w:val="00B050"/>
          <w:sz w:val="20"/>
        </w:rPr>
        <w:t xml:space="preserve">v drugi alineji prvega odstavka 6. člena in </w:t>
      </w:r>
      <w:r w:rsidR="00D72B4E" w:rsidRPr="004B68E9">
        <w:rPr>
          <w:rFonts w:ascii="Tahoma" w:hAnsi="Tahoma" w:cs="Tahoma"/>
          <w:bCs/>
          <w:color w:val="00B050"/>
          <w:sz w:val="20"/>
        </w:rPr>
        <w:t>v drugem odstavku 6. člena posameznega osnutka</w:t>
      </w:r>
      <w:r w:rsidRPr="004B68E9">
        <w:rPr>
          <w:rFonts w:ascii="Tahoma" w:hAnsi="Tahoma" w:cs="Tahoma"/>
          <w:bCs/>
          <w:color w:val="00B050"/>
          <w:sz w:val="20"/>
        </w:rPr>
        <w:t xml:space="preserve"> okvirnega sporazuma</w:t>
      </w:r>
      <w:r w:rsidR="00826F04">
        <w:rPr>
          <w:rFonts w:ascii="Tahoma" w:hAnsi="Tahoma" w:cs="Tahoma"/>
          <w:bCs/>
          <w:color w:val="00B050"/>
          <w:sz w:val="20"/>
        </w:rPr>
        <w:t xml:space="preserve"> (Priloga 11/1 in P</w:t>
      </w:r>
      <w:r w:rsidR="00D72B4E" w:rsidRPr="004B68E9">
        <w:rPr>
          <w:rFonts w:ascii="Tahoma" w:hAnsi="Tahoma" w:cs="Tahoma"/>
          <w:bCs/>
          <w:color w:val="00B050"/>
          <w:sz w:val="20"/>
        </w:rPr>
        <w:t>riloga 11/2) črta in se nadomesti z vrednostjo oziroma z besedilom »</w:t>
      </w:r>
      <w:r w:rsidR="00D72B4E" w:rsidRPr="004B68E9">
        <w:rPr>
          <w:rFonts w:ascii="Tahoma" w:hAnsi="Tahoma" w:cs="Tahoma"/>
          <w:bCs/>
          <w:i/>
          <w:color w:val="00B050"/>
          <w:sz w:val="20"/>
        </w:rPr>
        <w:t>4% (štiri odstotke)</w:t>
      </w:r>
      <w:r w:rsidR="00D72B4E" w:rsidRPr="004B68E9">
        <w:rPr>
          <w:rFonts w:ascii="Tahoma" w:hAnsi="Tahoma" w:cs="Tahoma"/>
          <w:bCs/>
          <w:color w:val="00B050"/>
          <w:sz w:val="20"/>
        </w:rPr>
        <w:t>«.</w:t>
      </w:r>
    </w:p>
    <w:p w:rsidR="00D72B4E" w:rsidRPr="004B68E9" w:rsidRDefault="00D72B4E" w:rsidP="00D72B4E">
      <w:pPr>
        <w:keepNext/>
        <w:keepLines/>
        <w:ind w:right="424"/>
        <w:jc w:val="both"/>
        <w:rPr>
          <w:rFonts w:ascii="Tahoma" w:hAnsi="Tahoma" w:cs="Tahoma"/>
          <w:bCs/>
          <w:color w:val="00B050"/>
          <w:sz w:val="20"/>
        </w:rPr>
      </w:pPr>
    </w:p>
    <w:p w:rsidR="00792EB1" w:rsidRPr="00792EB1" w:rsidRDefault="00792EB1" w:rsidP="00003601">
      <w:pPr>
        <w:keepNext/>
        <w:keepLines/>
        <w:pBdr>
          <w:bottom w:val="single" w:sz="4" w:space="1" w:color="auto"/>
        </w:pBdr>
        <w:ind w:right="424"/>
        <w:jc w:val="both"/>
        <w:rPr>
          <w:rFonts w:ascii="Tahoma" w:hAnsi="Tahoma" w:cs="Tahoma"/>
          <w:color w:val="00B050"/>
          <w:sz w:val="20"/>
        </w:rPr>
      </w:pPr>
      <w:r w:rsidRPr="004B68E9">
        <w:rPr>
          <w:rFonts w:ascii="Tahoma" w:hAnsi="Tahoma" w:cs="Tahoma"/>
          <w:bCs/>
          <w:color w:val="00B050"/>
          <w:sz w:val="20"/>
        </w:rPr>
        <w:t xml:space="preserve">Navedena sprememba je razvidna iz spremenjenega osnutka okvirnega sporazuma (Priloga 11/1 in Priloga 11/2) oziroma iz spremenjene razpisne dokumentacije, ki je objavljena na Portalu javnih naročil in vsebuje navedene spremembe. </w:t>
      </w:r>
      <w:r w:rsidRPr="004B68E9">
        <w:rPr>
          <w:rFonts w:ascii="Tahoma" w:hAnsi="Tahoma" w:cs="Tahoma"/>
          <w:color w:val="00B050"/>
          <w:sz w:val="20"/>
        </w:rPr>
        <w:t>Ponudnik, ki oddaja ponudbo za posamezni sklop predmeta javnega naročila mora pri pripravi in oddaji ponudbe upoštevati navedeno sprememb</w:t>
      </w:r>
      <w:r w:rsidR="007F65F5" w:rsidRPr="004B68E9">
        <w:rPr>
          <w:rFonts w:ascii="Tahoma" w:hAnsi="Tahoma" w:cs="Tahoma"/>
          <w:color w:val="00B050"/>
          <w:sz w:val="20"/>
        </w:rPr>
        <w:t>o razpisne dokumentacije z dne 9</w:t>
      </w:r>
      <w:r w:rsidRPr="004B68E9">
        <w:rPr>
          <w:rFonts w:ascii="Tahoma" w:hAnsi="Tahoma" w:cs="Tahoma"/>
          <w:color w:val="00B050"/>
          <w:sz w:val="20"/>
        </w:rPr>
        <w:t>. 10. 2023.</w:t>
      </w:r>
      <w:r w:rsidRPr="00792EB1">
        <w:rPr>
          <w:rFonts w:ascii="Tahoma" w:hAnsi="Tahoma" w:cs="Tahoma"/>
          <w:color w:val="00B050"/>
          <w:sz w:val="20"/>
        </w:rPr>
        <w:t xml:space="preserve"> </w:t>
      </w:r>
    </w:p>
    <w:p w:rsidR="00283C09" w:rsidRDefault="00283C09" w:rsidP="00012ED6">
      <w:pPr>
        <w:keepNext/>
        <w:keepLines/>
        <w:ind w:right="424"/>
        <w:jc w:val="both"/>
        <w:rPr>
          <w:rFonts w:ascii="Tahoma" w:hAnsi="Tahoma" w:cs="Tahoma"/>
          <w:sz w:val="20"/>
        </w:rPr>
      </w:pPr>
    </w:p>
    <w:p w:rsidR="0096415E" w:rsidRPr="008F64E7" w:rsidRDefault="0096415E" w:rsidP="0096415E">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BA1780">
        <w:rPr>
          <w:rFonts w:ascii="Helvetica" w:hAnsi="Helvetica" w:cs="Helvetica"/>
          <w:bCs/>
          <w:color w:val="FF0000"/>
          <w:sz w:val="21"/>
          <w:szCs w:val="21"/>
        </w:rPr>
        <w:t xml:space="preserve">Datum prejema: </w:t>
      </w:r>
      <w:r>
        <w:rPr>
          <w:rFonts w:ascii="Helvetica" w:hAnsi="Helvetica" w:cs="Helvetica"/>
          <w:bCs/>
          <w:color w:val="FF0000"/>
          <w:sz w:val="21"/>
          <w:szCs w:val="21"/>
        </w:rPr>
        <w:t>06.10.2023   09:39</w:t>
      </w:r>
    </w:p>
    <w:p w:rsidR="0096415E" w:rsidRDefault="0096415E" w:rsidP="0096415E">
      <w:pPr>
        <w:keepNext/>
        <w:keepLines/>
        <w:ind w:right="424"/>
        <w:jc w:val="both"/>
        <w:rPr>
          <w:rFonts w:ascii="Tahoma" w:hAnsi="Tahoma" w:cs="Tahoma"/>
          <w:bCs/>
          <w:sz w:val="20"/>
        </w:rPr>
      </w:pPr>
      <w:r w:rsidRPr="0096415E">
        <w:rPr>
          <w:rFonts w:ascii="Tahoma" w:hAnsi="Tahoma" w:cs="Tahoma"/>
          <w:bCs/>
          <w:sz w:val="20"/>
        </w:rPr>
        <w:t>Spoštovani,</w:t>
      </w:r>
      <w:r w:rsidRPr="0096415E">
        <w:rPr>
          <w:rFonts w:ascii="Tahoma" w:hAnsi="Tahoma" w:cs="Tahoma"/>
          <w:bCs/>
          <w:sz w:val="20"/>
        </w:rPr>
        <w:br/>
      </w:r>
      <w:r w:rsidRPr="0096415E">
        <w:rPr>
          <w:rFonts w:ascii="Tahoma" w:hAnsi="Tahoma" w:cs="Tahoma"/>
          <w:bCs/>
          <w:sz w:val="20"/>
        </w:rPr>
        <w:br/>
        <w:t>V skladu z 39. člena Zakona o varnosti in zdravju pri delu (Ur.l.RS št. 43/2011, ZVZD-1), morajo delodajalci na deloviščih, na katerih hkrati opravlja delo dvoje ali več delodajalcev, s pisnim sporazumom določiti skupne ukrepe za zagotavljanje varnosti in zdravja pri delu ter na strani vsakega delodajalca posebej določiti osebo, ki bo zagotavljala varnost ostalih delavcev pri posameznem delodajalcu. Takšen pisni sporazum morata skleniti naročnik in izvajalec. V skladu z 38. točko 76. člena ZVZD-1 se kršitev zgoraj navedene obveznosti šteje za prekršek, za katerega je zagrožena globa v višini od 2.000 do 40.000 EUR.</w:t>
      </w:r>
    </w:p>
    <w:p w:rsidR="0096415E" w:rsidRDefault="0096415E" w:rsidP="0096415E">
      <w:pPr>
        <w:keepNext/>
        <w:keepLines/>
        <w:ind w:right="424"/>
        <w:jc w:val="both"/>
        <w:rPr>
          <w:rFonts w:ascii="Tahoma" w:hAnsi="Tahoma" w:cs="Tahoma"/>
          <w:bCs/>
          <w:sz w:val="20"/>
        </w:rPr>
      </w:pPr>
      <w:r w:rsidRPr="0096415E">
        <w:rPr>
          <w:rFonts w:ascii="Tahoma" w:hAnsi="Tahoma" w:cs="Tahoma"/>
          <w:bCs/>
          <w:sz w:val="20"/>
        </w:rPr>
        <w:br/>
        <w:t>Pozivamo vas, da dopolnite razpisno dokumentacijo z vzorcem Sporazuma o skupnih varnostnih ukrepih, ki ga bosta podpisala naročnik in izbrani izvajale oz. potrdite, da bo ob podpisu pogodbe z izbranim izvajalcem sklenjen pisnim sporazumom, kateri določa skupne ukrepe za zagotavljanje varnosti in zdravja pri delu.</w:t>
      </w:r>
    </w:p>
    <w:p w:rsidR="0096415E" w:rsidRPr="004B68E9" w:rsidRDefault="0096415E" w:rsidP="0096415E">
      <w:pPr>
        <w:keepNext/>
        <w:keepLines/>
        <w:ind w:right="424"/>
        <w:jc w:val="both"/>
        <w:rPr>
          <w:rFonts w:ascii="Tahoma" w:hAnsi="Tahoma" w:cs="Tahoma"/>
          <w:bCs/>
          <w:sz w:val="20"/>
        </w:rPr>
      </w:pPr>
      <w:r w:rsidRPr="0096415E">
        <w:rPr>
          <w:rFonts w:ascii="Tahoma" w:hAnsi="Tahoma" w:cs="Tahoma"/>
          <w:bCs/>
          <w:sz w:val="20"/>
        </w:rPr>
        <w:br/>
        <w:t>V kolikor z lastnim sporazumom o skupnih varnostnih ukrepih ne razpolagate, nas zanima ali lahko izbrani izvajalec predloži lasten sporazum o skupnih varnostnih ukrepih, katerega boste podpisali?</w:t>
      </w:r>
      <w:r w:rsidRPr="0096415E">
        <w:rPr>
          <w:rFonts w:ascii="Tahoma" w:hAnsi="Tahoma" w:cs="Tahoma"/>
          <w:bCs/>
          <w:sz w:val="20"/>
        </w:rPr>
        <w:br/>
      </w:r>
      <w:r w:rsidRPr="0096415E">
        <w:rPr>
          <w:rFonts w:ascii="Tahoma" w:hAnsi="Tahoma" w:cs="Tahoma"/>
          <w:bCs/>
          <w:sz w:val="20"/>
        </w:rPr>
        <w:br/>
      </w:r>
      <w:r w:rsidRPr="004B68E9">
        <w:rPr>
          <w:rFonts w:ascii="Tahoma" w:hAnsi="Tahoma" w:cs="Tahoma"/>
          <w:bCs/>
          <w:sz w:val="20"/>
        </w:rPr>
        <w:t>Lep pozdrav.</w:t>
      </w:r>
    </w:p>
    <w:p w:rsidR="0096415E" w:rsidRPr="004B68E9" w:rsidRDefault="0096415E" w:rsidP="00012ED6">
      <w:pPr>
        <w:keepNext/>
        <w:keepLines/>
        <w:ind w:right="424"/>
        <w:jc w:val="both"/>
        <w:rPr>
          <w:rFonts w:ascii="Tahoma" w:hAnsi="Tahoma" w:cs="Tahoma"/>
          <w:sz w:val="20"/>
        </w:rPr>
      </w:pPr>
    </w:p>
    <w:p w:rsidR="0096415E" w:rsidRPr="004B68E9" w:rsidRDefault="0096415E" w:rsidP="0096415E">
      <w:pPr>
        <w:keepNext/>
        <w:keepLines/>
        <w:tabs>
          <w:tab w:val="left" w:pos="8505"/>
        </w:tabs>
        <w:spacing w:after="120"/>
        <w:jc w:val="both"/>
        <w:rPr>
          <w:rFonts w:ascii="Tahoma" w:hAnsi="Tahoma" w:cs="Tahoma"/>
          <w:color w:val="00B050"/>
          <w:sz w:val="20"/>
        </w:rPr>
      </w:pPr>
      <w:r w:rsidRPr="004B68E9">
        <w:rPr>
          <w:rFonts w:ascii="Tahoma" w:hAnsi="Tahoma" w:cs="Tahoma"/>
          <w:color w:val="00B050"/>
          <w:sz w:val="20"/>
        </w:rPr>
        <w:t>ODGOVOR:</w:t>
      </w:r>
    </w:p>
    <w:p w:rsidR="00003601" w:rsidRPr="00003601" w:rsidRDefault="00003601" w:rsidP="004B68E9">
      <w:pPr>
        <w:keepNext/>
        <w:keepLines/>
        <w:pBdr>
          <w:bottom w:val="single" w:sz="4" w:space="1" w:color="auto"/>
        </w:pBdr>
        <w:ind w:right="424"/>
        <w:jc w:val="both"/>
        <w:rPr>
          <w:rFonts w:ascii="Tahoma" w:hAnsi="Tahoma" w:cs="Tahoma"/>
          <w:bCs/>
          <w:color w:val="00B050"/>
          <w:sz w:val="20"/>
        </w:rPr>
      </w:pPr>
      <w:r w:rsidRPr="004B68E9">
        <w:rPr>
          <w:rFonts w:ascii="Tahoma" w:hAnsi="Tahoma" w:cs="Tahoma"/>
          <w:color w:val="00B050"/>
          <w:sz w:val="20"/>
        </w:rPr>
        <w:t>Naročnik potrjuje</w:t>
      </w:r>
      <w:r w:rsidR="00645D57">
        <w:rPr>
          <w:rFonts w:ascii="Tahoma" w:hAnsi="Tahoma" w:cs="Tahoma"/>
          <w:color w:val="00B050"/>
          <w:sz w:val="20"/>
        </w:rPr>
        <w:t>,</w:t>
      </w:r>
      <w:r w:rsidRPr="004B68E9">
        <w:rPr>
          <w:rFonts w:ascii="Tahoma" w:hAnsi="Tahoma" w:cs="Tahoma"/>
          <w:color w:val="00B050"/>
          <w:sz w:val="20"/>
        </w:rPr>
        <w:t xml:space="preserve"> </w:t>
      </w:r>
      <w:r w:rsidRPr="004B68E9">
        <w:rPr>
          <w:rFonts w:ascii="Tahoma" w:hAnsi="Tahoma" w:cs="Tahoma"/>
          <w:bCs/>
          <w:color w:val="00B050"/>
          <w:sz w:val="20"/>
        </w:rPr>
        <w:t xml:space="preserve">da bo ob podpisu </w:t>
      </w:r>
      <w:r w:rsidR="00645D57">
        <w:rPr>
          <w:rFonts w:ascii="Tahoma" w:hAnsi="Tahoma" w:cs="Tahoma"/>
          <w:bCs/>
          <w:color w:val="00B050"/>
          <w:sz w:val="20"/>
        </w:rPr>
        <w:t>okvirnega sporazuma</w:t>
      </w:r>
      <w:r w:rsidRPr="004B68E9">
        <w:rPr>
          <w:rFonts w:ascii="Tahoma" w:hAnsi="Tahoma" w:cs="Tahoma"/>
          <w:bCs/>
          <w:color w:val="00B050"/>
          <w:sz w:val="20"/>
        </w:rPr>
        <w:t xml:space="preserve"> oziroma</w:t>
      </w:r>
      <w:r w:rsidRPr="004B68E9">
        <w:rPr>
          <w:rFonts w:ascii="Tahoma" w:hAnsi="Tahoma" w:cs="Tahoma"/>
          <w:color w:val="00B050"/>
          <w:sz w:val="20"/>
          <w:szCs w:val="22"/>
        </w:rPr>
        <w:t xml:space="preserve"> najmanj 10 dni pred začetkom izvajanja okvirnega sporazuma</w:t>
      </w:r>
      <w:r w:rsidRPr="004B68E9">
        <w:rPr>
          <w:rFonts w:ascii="Tahoma" w:hAnsi="Tahoma" w:cs="Tahoma"/>
          <w:bCs/>
          <w:color w:val="00B050"/>
          <w:sz w:val="20"/>
        </w:rPr>
        <w:t xml:space="preserve"> z izbranim ponudnikom za posamezni sklop predmeta javnega naročila sklenjen pisnim sporazumom, kateri določa skupne ukrepe za zagotavljanje varnosti in zdravja pri delu, kot je to določeno </w:t>
      </w:r>
      <w:r w:rsidR="00826F04">
        <w:rPr>
          <w:rFonts w:ascii="Tahoma" w:hAnsi="Tahoma" w:cs="Tahoma"/>
          <w:bCs/>
          <w:color w:val="00B050"/>
          <w:sz w:val="20"/>
        </w:rPr>
        <w:t xml:space="preserve">v </w:t>
      </w:r>
      <w:r w:rsidRPr="004B68E9">
        <w:rPr>
          <w:rFonts w:ascii="Tahoma" w:hAnsi="Tahoma" w:cs="Tahoma"/>
          <w:bCs/>
          <w:color w:val="00B050"/>
          <w:sz w:val="20"/>
        </w:rPr>
        <w:t>2.2.4. točki razpisne dokumentacije.</w:t>
      </w:r>
    </w:p>
    <w:p w:rsidR="00CE13B8" w:rsidRPr="004B68E9" w:rsidRDefault="00F75F17" w:rsidP="00CE13B8">
      <w:pPr>
        <w:keepNext/>
        <w:keepLines/>
        <w:tabs>
          <w:tab w:val="left" w:pos="8505"/>
        </w:tabs>
        <w:spacing w:after="120"/>
        <w:jc w:val="both"/>
        <w:rPr>
          <w:rFonts w:ascii="Tahoma" w:hAnsi="Tahoma" w:cs="Tahoma"/>
          <w:color w:val="00B050"/>
          <w:sz w:val="20"/>
        </w:rPr>
      </w:pPr>
      <w:r w:rsidRPr="004B68E9">
        <w:rPr>
          <w:rFonts w:ascii="Tahoma" w:hAnsi="Tahoma" w:cs="Tahoma"/>
          <w:color w:val="00B050"/>
          <w:sz w:val="20"/>
        </w:rPr>
        <w:lastRenderedPageBreak/>
        <w:t>DODATNO POJASNILO:</w:t>
      </w:r>
    </w:p>
    <w:p w:rsidR="00CE13B8" w:rsidRPr="00BB5784" w:rsidRDefault="00CE13B8" w:rsidP="00CE13B8">
      <w:pPr>
        <w:keepNext/>
        <w:keepLines/>
        <w:pBdr>
          <w:bottom w:val="single" w:sz="4" w:space="1" w:color="auto"/>
        </w:pBdr>
        <w:ind w:right="424"/>
        <w:jc w:val="both"/>
        <w:rPr>
          <w:rFonts w:ascii="Tahoma" w:hAnsi="Tahoma" w:cs="Tahoma"/>
          <w:sz w:val="20"/>
        </w:rPr>
      </w:pPr>
      <w:r>
        <w:rPr>
          <w:rFonts w:ascii="Tahoma" w:hAnsi="Tahoma" w:cs="Tahoma"/>
          <w:sz w:val="20"/>
        </w:rPr>
        <w:t>Sprememba razpisne dokumentacije z dne 9. 10. 2023 je objavljena na Portalu javnih naročil in na spletni strani naročnika.</w:t>
      </w:r>
      <w:r w:rsidR="00F75F17">
        <w:rPr>
          <w:rFonts w:ascii="Tahoma" w:hAnsi="Tahoma" w:cs="Tahoma"/>
          <w:sz w:val="20"/>
        </w:rPr>
        <w:t xml:space="preserve"> </w:t>
      </w:r>
      <w:r w:rsidRPr="00BB5784">
        <w:rPr>
          <w:rFonts w:ascii="Tahoma" w:hAnsi="Tahoma" w:cs="Tahoma"/>
          <w:sz w:val="20"/>
        </w:rPr>
        <w:t xml:space="preserve">Ponudnik, ki oddaja ponudbo za </w:t>
      </w:r>
      <w:r>
        <w:rPr>
          <w:rFonts w:ascii="Tahoma" w:hAnsi="Tahoma" w:cs="Tahoma"/>
          <w:sz w:val="20"/>
        </w:rPr>
        <w:t>posamezni sklop predmeta javnega naročila</w:t>
      </w:r>
      <w:r w:rsidR="00826F04">
        <w:rPr>
          <w:rFonts w:ascii="Tahoma" w:hAnsi="Tahoma" w:cs="Tahoma"/>
          <w:sz w:val="20"/>
        </w:rPr>
        <w:t>,</w:t>
      </w:r>
      <w:r w:rsidRPr="00BB5784">
        <w:rPr>
          <w:rFonts w:ascii="Tahoma" w:hAnsi="Tahoma" w:cs="Tahoma"/>
          <w:sz w:val="20"/>
        </w:rPr>
        <w:t xml:space="preserve"> mora pri pripravi ponudbe upoštevati </w:t>
      </w:r>
      <w:r>
        <w:rPr>
          <w:rFonts w:ascii="Tahoma" w:hAnsi="Tahoma" w:cs="Tahoma"/>
          <w:sz w:val="20"/>
        </w:rPr>
        <w:t>vse spremembe razpisne dokumentacije in ponudbo oddati na spremenjenih obrazcih/prilogah/ponudbenem predračunu, v skladu z vsemi spremembami razpisne dokumentacije.</w:t>
      </w:r>
      <w:bookmarkStart w:id="0" w:name="_GoBack"/>
      <w:bookmarkEnd w:id="0"/>
    </w:p>
    <w:p w:rsidR="00CE13B8" w:rsidRDefault="00CE13B8" w:rsidP="00012ED6">
      <w:pPr>
        <w:keepNext/>
        <w:keepLines/>
        <w:ind w:right="424"/>
        <w:jc w:val="both"/>
        <w:rPr>
          <w:rFonts w:ascii="Tahoma" w:hAnsi="Tahoma" w:cs="Tahoma"/>
          <w:sz w:val="20"/>
        </w:rPr>
      </w:pPr>
    </w:p>
    <w:p w:rsidR="00826F04" w:rsidRDefault="00826F04" w:rsidP="00012ED6">
      <w:pPr>
        <w:keepNext/>
        <w:keepLines/>
        <w:ind w:right="424"/>
        <w:jc w:val="both"/>
        <w:rPr>
          <w:rFonts w:ascii="Tahoma" w:hAnsi="Tahoma" w:cs="Tahoma"/>
          <w:sz w:val="20"/>
        </w:rPr>
      </w:pPr>
    </w:p>
    <w:p w:rsidR="0019730D" w:rsidRDefault="0019730D" w:rsidP="0019730D">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19730D">
      <w:pPr>
        <w:keepNext/>
        <w:keepLines/>
        <w:rPr>
          <w:rFonts w:ascii="Tahoma" w:hAnsi="Tahoma" w:cs="Tahoma"/>
          <w:sz w:val="20"/>
        </w:rPr>
      </w:pPr>
      <w:r w:rsidRPr="00072473">
        <w:rPr>
          <w:rFonts w:ascii="Tahoma" w:hAnsi="Tahoma" w:cs="Tahoma"/>
          <w:sz w:val="20"/>
        </w:rPr>
        <w:tab/>
      </w:r>
    </w:p>
    <w:p w:rsidR="0019730D" w:rsidRPr="00072473" w:rsidRDefault="0019730D" w:rsidP="0019730D">
      <w:pPr>
        <w:keepNext/>
        <w:keepLines/>
        <w:ind w:left="5387"/>
        <w:rPr>
          <w:rFonts w:ascii="Tahoma" w:hAnsi="Tahoma" w:cs="Tahoma"/>
          <w:sz w:val="20"/>
        </w:rPr>
      </w:pPr>
      <w:r w:rsidRPr="00072473">
        <w:rPr>
          <w:rFonts w:ascii="Tahoma" w:hAnsi="Tahoma" w:cs="Tahoma"/>
          <w:sz w:val="20"/>
        </w:rPr>
        <w:t>JAVNI HOLDING Ljubljana, d.o.o.</w:t>
      </w:r>
    </w:p>
    <w:p w:rsidR="00EF65C1" w:rsidRPr="00BB5784" w:rsidRDefault="0019730D" w:rsidP="00BB5784">
      <w:pPr>
        <w:keepNext/>
        <w:keepLines/>
        <w:ind w:left="5387"/>
        <w:rPr>
          <w:rFonts w:ascii="Tahoma" w:hAnsi="Tahoma" w:cs="Tahoma"/>
          <w:sz w:val="20"/>
        </w:rPr>
      </w:pPr>
      <w:r w:rsidRPr="00072473">
        <w:rPr>
          <w:rFonts w:ascii="Tahoma" w:hAnsi="Tahoma" w:cs="Tahoma"/>
          <w:sz w:val="20"/>
        </w:rPr>
        <w:t>Sektor za javna naročila</w:t>
      </w:r>
    </w:p>
    <w:sectPr w:rsidR="00EF65C1" w:rsidRPr="00BB5784" w:rsidSect="00856BF6">
      <w:headerReference w:type="default" r:id="rId10"/>
      <w:footerReference w:type="default" r:id="rId11"/>
      <w:headerReference w:type="first" r:id="rId12"/>
      <w:footerReference w:type="first" r:id="rId13"/>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62" w:rsidRDefault="00163B62">
      <w:r>
        <w:separator/>
      </w:r>
    </w:p>
  </w:endnote>
  <w:endnote w:type="continuationSeparator" w:id="0">
    <w:p w:rsidR="00163B62" w:rsidRDefault="0016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62" w:rsidRDefault="00163B62" w:rsidP="00B366C6">
    <w:pPr>
      <w:pStyle w:val="Noga"/>
      <w:jc w:val="right"/>
    </w:pPr>
  </w:p>
  <w:p w:rsidR="00163B62" w:rsidRDefault="00163B62"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163B62" w:rsidRDefault="00163B62"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D1D54">
      <w:rPr>
        <w:noProof/>
        <w:sz w:val="16"/>
        <w:szCs w:val="16"/>
      </w:rPr>
      <w:t>6</w:t>
    </w:r>
    <w:r w:rsidRPr="00394716">
      <w:rPr>
        <w:sz w:val="16"/>
        <w:szCs w:val="16"/>
      </w:rPr>
      <w:fldChar w:fldCharType="end"/>
    </w:r>
  </w:p>
  <w:p w:rsidR="00163B62" w:rsidRDefault="00163B62" w:rsidP="00B366C6">
    <w:pPr>
      <w:pStyle w:val="Noga"/>
      <w:jc w:val="center"/>
      <w:rPr>
        <w:sz w:val="16"/>
        <w:szCs w:val="16"/>
      </w:rPr>
    </w:pPr>
  </w:p>
  <w:p w:rsidR="00163B62" w:rsidRDefault="00163B62" w:rsidP="00B366C6">
    <w:pPr>
      <w:pStyle w:val="Noga"/>
      <w:jc w:val="center"/>
      <w:rPr>
        <w:sz w:val="16"/>
        <w:szCs w:val="16"/>
      </w:rPr>
    </w:pPr>
  </w:p>
  <w:p w:rsidR="00163B62" w:rsidRPr="00394716" w:rsidRDefault="00163B62"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62" w:rsidRPr="004D3E89" w:rsidRDefault="00163B62"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62" w:rsidRDefault="00163B62">
      <w:r>
        <w:separator/>
      </w:r>
    </w:p>
  </w:footnote>
  <w:footnote w:type="continuationSeparator" w:id="0">
    <w:p w:rsidR="00163B62" w:rsidRDefault="0016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62" w:rsidRDefault="00163B62"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B62" w:rsidRDefault="00163B62" w:rsidP="00B366C6">
    <w:pPr>
      <w:pStyle w:val="Glava"/>
      <w:tabs>
        <w:tab w:val="clear" w:pos="4536"/>
        <w:tab w:val="center" w:pos="7655"/>
      </w:tabs>
      <w:ind w:right="-1133"/>
    </w:pPr>
    <w:r>
      <w:tab/>
    </w:r>
    <w:r>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0"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FD0471"/>
    <w:multiLevelType w:val="hybridMultilevel"/>
    <w:tmpl w:val="447CCB4C"/>
    <w:lvl w:ilvl="0" w:tplc="1A06D27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5" w15:restartNumberingAfterBreak="0">
    <w:nsid w:val="524269DB"/>
    <w:multiLevelType w:val="hybridMultilevel"/>
    <w:tmpl w:val="6142B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754292"/>
    <w:multiLevelType w:val="hybridMultilevel"/>
    <w:tmpl w:val="879CEA3E"/>
    <w:lvl w:ilvl="0" w:tplc="57DA9E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B0E3DFB"/>
    <w:multiLevelType w:val="multilevel"/>
    <w:tmpl w:val="8B3E3184"/>
    <w:lvl w:ilvl="0">
      <w:start w:val="1"/>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4"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8"/>
  </w:num>
  <w:num w:numId="4">
    <w:abstractNumId w:val="19"/>
  </w:num>
  <w:num w:numId="5">
    <w:abstractNumId w:val="17"/>
  </w:num>
  <w:num w:numId="6">
    <w:abstractNumId w:val="3"/>
  </w:num>
  <w:num w:numId="7">
    <w:abstractNumId w:val="10"/>
  </w:num>
  <w:num w:numId="8">
    <w:abstractNumId w:val="20"/>
  </w:num>
  <w:num w:numId="9">
    <w:abstractNumId w:val="6"/>
  </w:num>
  <w:num w:numId="10">
    <w:abstractNumId w:val="7"/>
  </w:num>
  <w:num w:numId="11">
    <w:abstractNumId w:val="5"/>
  </w:num>
  <w:num w:numId="12">
    <w:abstractNumId w:val="2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4"/>
  </w:num>
  <w:num w:numId="15">
    <w:abstractNumId w:val="12"/>
  </w:num>
  <w:num w:numId="16">
    <w:abstractNumId w:val="26"/>
  </w:num>
  <w:num w:numId="17">
    <w:abstractNumId w:val="8"/>
  </w:num>
  <w:num w:numId="18">
    <w:abstractNumId w:val="19"/>
  </w:num>
  <w:num w:numId="19">
    <w:abstractNumId w:val="15"/>
  </w:num>
  <w:num w:numId="20">
    <w:abstractNumId w:val="18"/>
  </w:num>
  <w:num w:numId="21">
    <w:abstractNumId w:val="13"/>
  </w:num>
  <w:num w:numId="22">
    <w:abstractNumId w:val="34"/>
  </w:num>
  <w:num w:numId="23">
    <w:abstractNumId w:val="9"/>
  </w:num>
  <w:num w:numId="24">
    <w:abstractNumId w:val="30"/>
  </w:num>
  <w:num w:numId="25">
    <w:abstractNumId w:val="29"/>
  </w:num>
  <w:num w:numId="26">
    <w:abstractNumId w:val="2"/>
  </w:num>
  <w:num w:numId="27">
    <w:abstractNumId w:val="31"/>
  </w:num>
  <w:num w:numId="28">
    <w:abstractNumId w:val="4"/>
  </w:num>
  <w:num w:numId="29">
    <w:abstractNumId w:val="14"/>
  </w:num>
  <w:num w:numId="30">
    <w:abstractNumId w:val="1"/>
  </w:num>
  <w:num w:numId="31">
    <w:abstractNumId w:val="21"/>
  </w:num>
  <w:num w:numId="32">
    <w:abstractNumId w:val="11"/>
  </w:num>
  <w:num w:numId="33">
    <w:abstractNumId w:val="16"/>
  </w:num>
  <w:num w:numId="34">
    <w:abstractNumId w:val="25"/>
  </w:num>
  <w:num w:numId="35">
    <w:abstractNumId w:val="32"/>
  </w:num>
  <w:num w:numId="36">
    <w:abstractNumId w:val="27"/>
  </w:num>
  <w:num w:numId="37">
    <w:abstractNumId w:val="22"/>
  </w:num>
  <w:num w:numId="38">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03601"/>
    <w:rsid w:val="00012811"/>
    <w:rsid w:val="00012ED6"/>
    <w:rsid w:val="00013BDE"/>
    <w:rsid w:val="00023D89"/>
    <w:rsid w:val="000254CC"/>
    <w:rsid w:val="00027D96"/>
    <w:rsid w:val="00027F8E"/>
    <w:rsid w:val="00036C6A"/>
    <w:rsid w:val="00037454"/>
    <w:rsid w:val="00041B42"/>
    <w:rsid w:val="000517FE"/>
    <w:rsid w:val="00052233"/>
    <w:rsid w:val="0005448D"/>
    <w:rsid w:val="000567CB"/>
    <w:rsid w:val="00072473"/>
    <w:rsid w:val="00075208"/>
    <w:rsid w:val="00085E0D"/>
    <w:rsid w:val="000930B2"/>
    <w:rsid w:val="000A0899"/>
    <w:rsid w:val="000A3FB9"/>
    <w:rsid w:val="000B082B"/>
    <w:rsid w:val="000B3410"/>
    <w:rsid w:val="000B5827"/>
    <w:rsid w:val="000B620E"/>
    <w:rsid w:val="000B6B43"/>
    <w:rsid w:val="000C052B"/>
    <w:rsid w:val="000D4BCF"/>
    <w:rsid w:val="000E1266"/>
    <w:rsid w:val="000E3456"/>
    <w:rsid w:val="000E6E67"/>
    <w:rsid w:val="000E7AFC"/>
    <w:rsid w:val="000E7D9B"/>
    <w:rsid w:val="00102EFB"/>
    <w:rsid w:val="0010611D"/>
    <w:rsid w:val="00110C57"/>
    <w:rsid w:val="00122BB1"/>
    <w:rsid w:val="00125393"/>
    <w:rsid w:val="0012683E"/>
    <w:rsid w:val="00130EEE"/>
    <w:rsid w:val="001376D1"/>
    <w:rsid w:val="00141500"/>
    <w:rsid w:val="00143D06"/>
    <w:rsid w:val="00163B62"/>
    <w:rsid w:val="00170AAA"/>
    <w:rsid w:val="00175FEC"/>
    <w:rsid w:val="0018237C"/>
    <w:rsid w:val="001870F9"/>
    <w:rsid w:val="0019730D"/>
    <w:rsid w:val="001A043C"/>
    <w:rsid w:val="001A53B9"/>
    <w:rsid w:val="001A725C"/>
    <w:rsid w:val="001A7ED0"/>
    <w:rsid w:val="001B0253"/>
    <w:rsid w:val="001B482F"/>
    <w:rsid w:val="001C238D"/>
    <w:rsid w:val="001C7004"/>
    <w:rsid w:val="001D4454"/>
    <w:rsid w:val="001E0C98"/>
    <w:rsid w:val="001E278D"/>
    <w:rsid w:val="001E3612"/>
    <w:rsid w:val="001E3A81"/>
    <w:rsid w:val="001E5AE6"/>
    <w:rsid w:val="001E6FB5"/>
    <w:rsid w:val="001F6FCD"/>
    <w:rsid w:val="00205379"/>
    <w:rsid w:val="00221146"/>
    <w:rsid w:val="00224FE4"/>
    <w:rsid w:val="00242234"/>
    <w:rsid w:val="00243800"/>
    <w:rsid w:val="00246415"/>
    <w:rsid w:val="00252A86"/>
    <w:rsid w:val="0026294B"/>
    <w:rsid w:val="002643E2"/>
    <w:rsid w:val="00274D27"/>
    <w:rsid w:val="002762BE"/>
    <w:rsid w:val="00282891"/>
    <w:rsid w:val="00283C09"/>
    <w:rsid w:val="00284842"/>
    <w:rsid w:val="00285099"/>
    <w:rsid w:val="00286700"/>
    <w:rsid w:val="00291CD6"/>
    <w:rsid w:val="00292109"/>
    <w:rsid w:val="002B79EA"/>
    <w:rsid w:val="002C255A"/>
    <w:rsid w:val="002C50D3"/>
    <w:rsid w:val="002C5152"/>
    <w:rsid w:val="002D3146"/>
    <w:rsid w:val="002D4294"/>
    <w:rsid w:val="002E363E"/>
    <w:rsid w:val="002F08A1"/>
    <w:rsid w:val="002F2ED9"/>
    <w:rsid w:val="002F4D0D"/>
    <w:rsid w:val="003013E0"/>
    <w:rsid w:val="003101D7"/>
    <w:rsid w:val="00313D3B"/>
    <w:rsid w:val="00315CA3"/>
    <w:rsid w:val="003328F0"/>
    <w:rsid w:val="0033465F"/>
    <w:rsid w:val="00341403"/>
    <w:rsid w:val="00354D59"/>
    <w:rsid w:val="00361BEC"/>
    <w:rsid w:val="00366A57"/>
    <w:rsid w:val="00366F2D"/>
    <w:rsid w:val="003731D5"/>
    <w:rsid w:val="003761C7"/>
    <w:rsid w:val="00382672"/>
    <w:rsid w:val="00387F4F"/>
    <w:rsid w:val="0039059B"/>
    <w:rsid w:val="00391DD6"/>
    <w:rsid w:val="00394DAF"/>
    <w:rsid w:val="00396E64"/>
    <w:rsid w:val="003B0717"/>
    <w:rsid w:val="003B151C"/>
    <w:rsid w:val="003B58D6"/>
    <w:rsid w:val="003C1FCF"/>
    <w:rsid w:val="003C5474"/>
    <w:rsid w:val="003C747C"/>
    <w:rsid w:val="003D1D54"/>
    <w:rsid w:val="003D4BEB"/>
    <w:rsid w:val="003E0E36"/>
    <w:rsid w:val="003E6604"/>
    <w:rsid w:val="003F3167"/>
    <w:rsid w:val="003F535B"/>
    <w:rsid w:val="003F60D5"/>
    <w:rsid w:val="003F65D3"/>
    <w:rsid w:val="00400839"/>
    <w:rsid w:val="00407136"/>
    <w:rsid w:val="00423E45"/>
    <w:rsid w:val="004310C6"/>
    <w:rsid w:val="00433EAA"/>
    <w:rsid w:val="004343AC"/>
    <w:rsid w:val="004366D6"/>
    <w:rsid w:val="00437DBA"/>
    <w:rsid w:val="0044086B"/>
    <w:rsid w:val="00441F5B"/>
    <w:rsid w:val="0044353F"/>
    <w:rsid w:val="00443FDC"/>
    <w:rsid w:val="00450DB9"/>
    <w:rsid w:val="00451A99"/>
    <w:rsid w:val="004540B0"/>
    <w:rsid w:val="0045541F"/>
    <w:rsid w:val="00455EB9"/>
    <w:rsid w:val="0045694C"/>
    <w:rsid w:val="00462AF9"/>
    <w:rsid w:val="00474451"/>
    <w:rsid w:val="0047542C"/>
    <w:rsid w:val="00477E79"/>
    <w:rsid w:val="00482216"/>
    <w:rsid w:val="00485B92"/>
    <w:rsid w:val="00486CDB"/>
    <w:rsid w:val="0049030A"/>
    <w:rsid w:val="004A38F0"/>
    <w:rsid w:val="004B0BE1"/>
    <w:rsid w:val="004B68E9"/>
    <w:rsid w:val="004B78F7"/>
    <w:rsid w:val="004D3E89"/>
    <w:rsid w:val="004D64A2"/>
    <w:rsid w:val="004E3A0F"/>
    <w:rsid w:val="004F599A"/>
    <w:rsid w:val="00503EAA"/>
    <w:rsid w:val="00505A07"/>
    <w:rsid w:val="00523501"/>
    <w:rsid w:val="00527CAB"/>
    <w:rsid w:val="0053291B"/>
    <w:rsid w:val="00532AA3"/>
    <w:rsid w:val="00540009"/>
    <w:rsid w:val="005555B1"/>
    <w:rsid w:val="0056182D"/>
    <w:rsid w:val="005727DC"/>
    <w:rsid w:val="0057721D"/>
    <w:rsid w:val="00577574"/>
    <w:rsid w:val="00583FEE"/>
    <w:rsid w:val="00585E0E"/>
    <w:rsid w:val="00591C11"/>
    <w:rsid w:val="00597FE2"/>
    <w:rsid w:val="005A1CF2"/>
    <w:rsid w:val="005A5DC8"/>
    <w:rsid w:val="005A7D63"/>
    <w:rsid w:val="005B4C30"/>
    <w:rsid w:val="005C2DB5"/>
    <w:rsid w:val="005C2DB7"/>
    <w:rsid w:val="005D2112"/>
    <w:rsid w:val="005E7331"/>
    <w:rsid w:val="005F40F3"/>
    <w:rsid w:val="00600300"/>
    <w:rsid w:val="00606457"/>
    <w:rsid w:val="006075E0"/>
    <w:rsid w:val="00611021"/>
    <w:rsid w:val="00616167"/>
    <w:rsid w:val="0062320B"/>
    <w:rsid w:val="00624A8F"/>
    <w:rsid w:val="006308E5"/>
    <w:rsid w:val="00634AE3"/>
    <w:rsid w:val="00636E9B"/>
    <w:rsid w:val="00645D57"/>
    <w:rsid w:val="00656773"/>
    <w:rsid w:val="006610A5"/>
    <w:rsid w:val="00665CA5"/>
    <w:rsid w:val="00682577"/>
    <w:rsid w:val="006862BE"/>
    <w:rsid w:val="0069374F"/>
    <w:rsid w:val="006A2FAA"/>
    <w:rsid w:val="006B024F"/>
    <w:rsid w:val="006B1CF9"/>
    <w:rsid w:val="006B3868"/>
    <w:rsid w:val="006B5EAA"/>
    <w:rsid w:val="006D02F4"/>
    <w:rsid w:val="006E0CA1"/>
    <w:rsid w:val="006E45F0"/>
    <w:rsid w:val="006F22BA"/>
    <w:rsid w:val="006F3058"/>
    <w:rsid w:val="006F536A"/>
    <w:rsid w:val="00703E6D"/>
    <w:rsid w:val="00705D61"/>
    <w:rsid w:val="00711458"/>
    <w:rsid w:val="00713832"/>
    <w:rsid w:val="007159B1"/>
    <w:rsid w:val="00717A7C"/>
    <w:rsid w:val="00730049"/>
    <w:rsid w:val="00735161"/>
    <w:rsid w:val="0074612C"/>
    <w:rsid w:val="00746617"/>
    <w:rsid w:val="007620B2"/>
    <w:rsid w:val="00762732"/>
    <w:rsid w:val="00763D0C"/>
    <w:rsid w:val="00764CDA"/>
    <w:rsid w:val="007661F5"/>
    <w:rsid w:val="00766924"/>
    <w:rsid w:val="0077022A"/>
    <w:rsid w:val="00792EB1"/>
    <w:rsid w:val="00794399"/>
    <w:rsid w:val="007A258F"/>
    <w:rsid w:val="007A2DF5"/>
    <w:rsid w:val="007B175D"/>
    <w:rsid w:val="007C2EC1"/>
    <w:rsid w:val="007C39BD"/>
    <w:rsid w:val="007C3B30"/>
    <w:rsid w:val="007C494E"/>
    <w:rsid w:val="007C6AEF"/>
    <w:rsid w:val="007D1E0B"/>
    <w:rsid w:val="007D6B63"/>
    <w:rsid w:val="007D7B31"/>
    <w:rsid w:val="007E1A3B"/>
    <w:rsid w:val="007E1CB5"/>
    <w:rsid w:val="007F0CFD"/>
    <w:rsid w:val="007F402F"/>
    <w:rsid w:val="007F65F5"/>
    <w:rsid w:val="00800D88"/>
    <w:rsid w:val="00805C31"/>
    <w:rsid w:val="008105EE"/>
    <w:rsid w:val="00813A5F"/>
    <w:rsid w:val="00816D52"/>
    <w:rsid w:val="00821F95"/>
    <w:rsid w:val="00826F04"/>
    <w:rsid w:val="00833E8E"/>
    <w:rsid w:val="008369D7"/>
    <w:rsid w:val="00844D48"/>
    <w:rsid w:val="0084746F"/>
    <w:rsid w:val="00854D93"/>
    <w:rsid w:val="00856BAF"/>
    <w:rsid w:val="00856BF6"/>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4F59"/>
    <w:rsid w:val="008B5186"/>
    <w:rsid w:val="008B6D77"/>
    <w:rsid w:val="008C5175"/>
    <w:rsid w:val="008C6040"/>
    <w:rsid w:val="008C6B61"/>
    <w:rsid w:val="008C7107"/>
    <w:rsid w:val="008D4AA0"/>
    <w:rsid w:val="008E5557"/>
    <w:rsid w:val="008F5344"/>
    <w:rsid w:val="008F63DA"/>
    <w:rsid w:val="008F64E7"/>
    <w:rsid w:val="00903BEF"/>
    <w:rsid w:val="0090455C"/>
    <w:rsid w:val="00905F46"/>
    <w:rsid w:val="0092040B"/>
    <w:rsid w:val="00927AAE"/>
    <w:rsid w:val="00931EA9"/>
    <w:rsid w:val="009328DB"/>
    <w:rsid w:val="009432A3"/>
    <w:rsid w:val="0094583D"/>
    <w:rsid w:val="00950F49"/>
    <w:rsid w:val="009512C9"/>
    <w:rsid w:val="00962839"/>
    <w:rsid w:val="0096415E"/>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4631"/>
    <w:rsid w:val="009B7791"/>
    <w:rsid w:val="009D10CB"/>
    <w:rsid w:val="009D2BDE"/>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A77C7"/>
    <w:rsid w:val="00AB245F"/>
    <w:rsid w:val="00AB4DCC"/>
    <w:rsid w:val="00AC2325"/>
    <w:rsid w:val="00AC326A"/>
    <w:rsid w:val="00AC7CAB"/>
    <w:rsid w:val="00AE726B"/>
    <w:rsid w:val="00AF7EC8"/>
    <w:rsid w:val="00B03E88"/>
    <w:rsid w:val="00B06E90"/>
    <w:rsid w:val="00B219A9"/>
    <w:rsid w:val="00B24134"/>
    <w:rsid w:val="00B366C6"/>
    <w:rsid w:val="00B376D0"/>
    <w:rsid w:val="00B44189"/>
    <w:rsid w:val="00B558AF"/>
    <w:rsid w:val="00B57403"/>
    <w:rsid w:val="00B66D3B"/>
    <w:rsid w:val="00B70739"/>
    <w:rsid w:val="00B810C1"/>
    <w:rsid w:val="00B81112"/>
    <w:rsid w:val="00B81936"/>
    <w:rsid w:val="00B8409C"/>
    <w:rsid w:val="00B931DE"/>
    <w:rsid w:val="00B93D81"/>
    <w:rsid w:val="00B941B6"/>
    <w:rsid w:val="00B95E5E"/>
    <w:rsid w:val="00BA1780"/>
    <w:rsid w:val="00BA26CB"/>
    <w:rsid w:val="00BA2B90"/>
    <w:rsid w:val="00BB2DF4"/>
    <w:rsid w:val="00BB5784"/>
    <w:rsid w:val="00BC23C0"/>
    <w:rsid w:val="00BC4B0F"/>
    <w:rsid w:val="00BD1A47"/>
    <w:rsid w:val="00BD33AF"/>
    <w:rsid w:val="00BD476F"/>
    <w:rsid w:val="00BD7248"/>
    <w:rsid w:val="00BE1A5B"/>
    <w:rsid w:val="00BE4EA5"/>
    <w:rsid w:val="00BE734B"/>
    <w:rsid w:val="00BE7E66"/>
    <w:rsid w:val="00BF0F33"/>
    <w:rsid w:val="00C02F06"/>
    <w:rsid w:val="00C04B76"/>
    <w:rsid w:val="00C06DFC"/>
    <w:rsid w:val="00C149B1"/>
    <w:rsid w:val="00C150BB"/>
    <w:rsid w:val="00C2043B"/>
    <w:rsid w:val="00C2057A"/>
    <w:rsid w:val="00C20C60"/>
    <w:rsid w:val="00C2152A"/>
    <w:rsid w:val="00C23200"/>
    <w:rsid w:val="00C31762"/>
    <w:rsid w:val="00C45F1E"/>
    <w:rsid w:val="00C53645"/>
    <w:rsid w:val="00C5370C"/>
    <w:rsid w:val="00C61FDA"/>
    <w:rsid w:val="00C6393E"/>
    <w:rsid w:val="00C73A78"/>
    <w:rsid w:val="00C75B4B"/>
    <w:rsid w:val="00CA4F0B"/>
    <w:rsid w:val="00CB065C"/>
    <w:rsid w:val="00CB0A4A"/>
    <w:rsid w:val="00CB4495"/>
    <w:rsid w:val="00CB702E"/>
    <w:rsid w:val="00CB77D3"/>
    <w:rsid w:val="00CD1834"/>
    <w:rsid w:val="00CE13B8"/>
    <w:rsid w:val="00CE4D71"/>
    <w:rsid w:val="00CF14B3"/>
    <w:rsid w:val="00CF4117"/>
    <w:rsid w:val="00D02474"/>
    <w:rsid w:val="00D03AF4"/>
    <w:rsid w:val="00D22D80"/>
    <w:rsid w:val="00D234FB"/>
    <w:rsid w:val="00D26F0A"/>
    <w:rsid w:val="00D27EE9"/>
    <w:rsid w:val="00D310AC"/>
    <w:rsid w:val="00D35278"/>
    <w:rsid w:val="00D37B43"/>
    <w:rsid w:val="00D558BF"/>
    <w:rsid w:val="00D5592D"/>
    <w:rsid w:val="00D5643B"/>
    <w:rsid w:val="00D57FE9"/>
    <w:rsid w:val="00D62091"/>
    <w:rsid w:val="00D677F7"/>
    <w:rsid w:val="00D72B4E"/>
    <w:rsid w:val="00D875E4"/>
    <w:rsid w:val="00D905F8"/>
    <w:rsid w:val="00D92BC3"/>
    <w:rsid w:val="00D970C6"/>
    <w:rsid w:val="00D97511"/>
    <w:rsid w:val="00DA13A7"/>
    <w:rsid w:val="00DA558B"/>
    <w:rsid w:val="00DB60D5"/>
    <w:rsid w:val="00DC1293"/>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678B7"/>
    <w:rsid w:val="00E72DB9"/>
    <w:rsid w:val="00E73C9D"/>
    <w:rsid w:val="00E762FD"/>
    <w:rsid w:val="00E90934"/>
    <w:rsid w:val="00E91E08"/>
    <w:rsid w:val="00EA249B"/>
    <w:rsid w:val="00EA33E0"/>
    <w:rsid w:val="00EB7714"/>
    <w:rsid w:val="00ED2035"/>
    <w:rsid w:val="00ED402D"/>
    <w:rsid w:val="00EE78E3"/>
    <w:rsid w:val="00EF65C1"/>
    <w:rsid w:val="00F03146"/>
    <w:rsid w:val="00F14403"/>
    <w:rsid w:val="00F15396"/>
    <w:rsid w:val="00F15B55"/>
    <w:rsid w:val="00F16308"/>
    <w:rsid w:val="00F231C9"/>
    <w:rsid w:val="00F277F3"/>
    <w:rsid w:val="00F2794A"/>
    <w:rsid w:val="00F478C8"/>
    <w:rsid w:val="00F5336C"/>
    <w:rsid w:val="00F53A60"/>
    <w:rsid w:val="00F543E6"/>
    <w:rsid w:val="00F56ADF"/>
    <w:rsid w:val="00F759FD"/>
    <w:rsid w:val="00F75F17"/>
    <w:rsid w:val="00F801AD"/>
    <w:rsid w:val="00F81EDE"/>
    <w:rsid w:val="00F859FE"/>
    <w:rsid w:val="00F86BF7"/>
    <w:rsid w:val="00F945FB"/>
    <w:rsid w:val="00FA1A43"/>
    <w:rsid w:val="00FA57FE"/>
    <w:rsid w:val="00FA5AE7"/>
    <w:rsid w:val="00FA7A34"/>
    <w:rsid w:val="00FB07AA"/>
    <w:rsid w:val="00FB71A7"/>
    <w:rsid w:val="00FC5DC4"/>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B73DF73"/>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C75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C75B4B"/>
    <w:rPr>
      <w:rFonts w:asciiTheme="majorHAnsi" w:eastAsiaTheme="majorEastAsia" w:hAnsiTheme="majorHAnsi" w:cstheme="majorBidi"/>
      <w:color w:val="365F91"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3598">
      <w:bodyDiv w:val="1"/>
      <w:marLeft w:val="0"/>
      <w:marRight w:val="0"/>
      <w:marTop w:val="0"/>
      <w:marBottom w:val="0"/>
      <w:divBdr>
        <w:top w:val="none" w:sz="0" w:space="0" w:color="auto"/>
        <w:left w:val="none" w:sz="0" w:space="0" w:color="auto"/>
        <w:bottom w:val="none" w:sz="0" w:space="0" w:color="auto"/>
        <w:right w:val="none" w:sz="0" w:space="0" w:color="auto"/>
      </w:divBdr>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85857">
      <w:bodyDiv w:val="1"/>
      <w:marLeft w:val="0"/>
      <w:marRight w:val="0"/>
      <w:marTop w:val="0"/>
      <w:marBottom w:val="0"/>
      <w:divBdr>
        <w:top w:val="none" w:sz="0" w:space="0" w:color="auto"/>
        <w:left w:val="none" w:sz="0" w:space="0" w:color="auto"/>
        <w:bottom w:val="none" w:sz="0" w:space="0" w:color="auto"/>
        <w:right w:val="none" w:sz="0" w:space="0" w:color="auto"/>
      </w:divBdr>
      <w:divsChild>
        <w:div w:id="2114396391">
          <w:marLeft w:val="-195"/>
          <w:marRight w:val="0"/>
          <w:marTop w:val="0"/>
          <w:marBottom w:val="0"/>
          <w:divBdr>
            <w:top w:val="none" w:sz="0" w:space="0" w:color="auto"/>
            <w:left w:val="none" w:sz="0" w:space="0" w:color="auto"/>
            <w:bottom w:val="none" w:sz="0" w:space="0" w:color="auto"/>
            <w:right w:val="none" w:sz="0" w:space="0" w:color="auto"/>
          </w:divBdr>
          <w:divsChild>
            <w:div w:id="6682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53613473">
      <w:bodyDiv w:val="1"/>
      <w:marLeft w:val="0"/>
      <w:marRight w:val="0"/>
      <w:marTop w:val="0"/>
      <w:marBottom w:val="0"/>
      <w:divBdr>
        <w:top w:val="none" w:sz="0" w:space="0" w:color="auto"/>
        <w:left w:val="none" w:sz="0" w:space="0" w:color="auto"/>
        <w:bottom w:val="none" w:sz="0" w:space="0" w:color="auto"/>
        <w:right w:val="none" w:sz="0" w:space="0" w:color="auto"/>
      </w:divBdr>
      <w:divsChild>
        <w:div w:id="602347294">
          <w:marLeft w:val="-195"/>
          <w:marRight w:val="0"/>
          <w:marTop w:val="0"/>
          <w:marBottom w:val="0"/>
          <w:divBdr>
            <w:top w:val="none" w:sz="0" w:space="0" w:color="auto"/>
            <w:left w:val="none" w:sz="0" w:space="0" w:color="auto"/>
            <w:bottom w:val="none" w:sz="0" w:space="0" w:color="auto"/>
            <w:right w:val="none" w:sz="0" w:space="0" w:color="auto"/>
          </w:divBdr>
          <w:divsChild>
            <w:div w:id="17132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27685713">
      <w:bodyDiv w:val="1"/>
      <w:marLeft w:val="0"/>
      <w:marRight w:val="0"/>
      <w:marTop w:val="0"/>
      <w:marBottom w:val="0"/>
      <w:divBdr>
        <w:top w:val="none" w:sz="0" w:space="0" w:color="auto"/>
        <w:left w:val="none" w:sz="0" w:space="0" w:color="auto"/>
        <w:bottom w:val="none" w:sz="0" w:space="0" w:color="auto"/>
        <w:right w:val="none" w:sz="0" w:space="0" w:color="auto"/>
      </w:divBdr>
    </w:div>
    <w:div w:id="1732777286">
      <w:bodyDiv w:val="1"/>
      <w:marLeft w:val="0"/>
      <w:marRight w:val="0"/>
      <w:marTop w:val="0"/>
      <w:marBottom w:val="0"/>
      <w:divBdr>
        <w:top w:val="none" w:sz="0" w:space="0" w:color="auto"/>
        <w:left w:val="none" w:sz="0" w:space="0" w:color="auto"/>
        <w:bottom w:val="none" w:sz="0" w:space="0" w:color="auto"/>
        <w:right w:val="none" w:sz="0" w:space="0" w:color="auto"/>
      </w:divBdr>
      <w:divsChild>
        <w:div w:id="764884708">
          <w:marLeft w:val="-195"/>
          <w:marRight w:val="0"/>
          <w:marTop w:val="0"/>
          <w:marBottom w:val="0"/>
          <w:divBdr>
            <w:top w:val="none" w:sz="0" w:space="0" w:color="auto"/>
            <w:left w:val="none" w:sz="0" w:space="0" w:color="auto"/>
            <w:bottom w:val="none" w:sz="0" w:space="0" w:color="auto"/>
            <w:right w:val="none" w:sz="0" w:space="0" w:color="auto"/>
          </w:divBdr>
          <w:divsChild>
            <w:div w:id="5315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53765383">
      <w:bodyDiv w:val="1"/>
      <w:marLeft w:val="0"/>
      <w:marRight w:val="0"/>
      <w:marTop w:val="0"/>
      <w:marBottom w:val="0"/>
      <w:divBdr>
        <w:top w:val="none" w:sz="0" w:space="0" w:color="auto"/>
        <w:left w:val="none" w:sz="0" w:space="0" w:color="auto"/>
        <w:bottom w:val="none" w:sz="0" w:space="0" w:color="auto"/>
        <w:right w:val="none" w:sz="0" w:space="0" w:color="auto"/>
      </w:divBdr>
      <w:divsChild>
        <w:div w:id="2128890504">
          <w:marLeft w:val="-195"/>
          <w:marRight w:val="0"/>
          <w:marTop w:val="0"/>
          <w:marBottom w:val="0"/>
          <w:divBdr>
            <w:top w:val="none" w:sz="0" w:space="0" w:color="auto"/>
            <w:left w:val="none" w:sz="0" w:space="0" w:color="auto"/>
            <w:bottom w:val="none" w:sz="0" w:space="0" w:color="auto"/>
            <w:right w:val="none" w:sz="0" w:space="0" w:color="auto"/>
          </w:divBdr>
          <w:divsChild>
            <w:div w:id="16587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392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6-01-392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43F5F-ED10-4530-8DE7-4ED8AEA6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2681</Words>
  <Characters>15287</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cp:lastModifiedBy>
  <cp:revision>58</cp:revision>
  <cp:lastPrinted>2021-09-01T11:34:00Z</cp:lastPrinted>
  <dcterms:created xsi:type="dcterms:W3CDTF">2023-10-05T12:49:00Z</dcterms:created>
  <dcterms:modified xsi:type="dcterms:W3CDTF">2023-10-09T06:11:00Z</dcterms:modified>
</cp:coreProperties>
</file>