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7D9B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125393">
        <w:rPr>
          <w:rFonts w:ascii="Tahoma" w:hAnsi="Tahoma" w:cs="Tahoma"/>
          <w:sz w:val="20"/>
          <w:lang w:val="en-US"/>
        </w:rPr>
        <w:t>17</w:t>
      </w:r>
      <w:r w:rsidR="00D57FE9">
        <w:rPr>
          <w:rFonts w:ascii="Tahoma" w:hAnsi="Tahoma" w:cs="Tahoma"/>
          <w:sz w:val="20"/>
          <w:lang w:val="en-US"/>
        </w:rPr>
        <w:t>.</w:t>
      </w:r>
      <w:r w:rsidR="004540B0">
        <w:rPr>
          <w:rFonts w:ascii="Tahoma" w:hAnsi="Tahoma" w:cs="Tahoma"/>
          <w:sz w:val="20"/>
          <w:lang w:val="en-US"/>
        </w:rPr>
        <w:t xml:space="preserve"> 2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</w:p>
    <w:p w:rsidR="00763D0C" w:rsidRDefault="00763D0C" w:rsidP="000E7D9B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</w:rPr>
      </w:pPr>
    </w:p>
    <w:p w:rsidR="00441F5B" w:rsidRPr="00441F5B" w:rsidRDefault="007C3B30" w:rsidP="000E7D9B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441F5B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441F5B">
        <w:rPr>
          <w:rFonts w:ascii="Tahoma" w:hAnsi="Tahoma" w:cs="Tahoma"/>
          <w:bCs/>
          <w:sz w:val="20"/>
        </w:rPr>
        <w:t>za javno naročilo št. JHL-32</w:t>
      </w:r>
      <w:r w:rsidR="00482216">
        <w:rPr>
          <w:rFonts w:ascii="Tahoma" w:hAnsi="Tahoma" w:cs="Tahoma"/>
          <w:bCs/>
          <w:sz w:val="20"/>
        </w:rPr>
        <w:t>/19</w:t>
      </w:r>
      <w:r w:rsidR="00441F5B">
        <w:rPr>
          <w:rFonts w:ascii="Tahoma" w:hAnsi="Tahoma" w:cs="Tahoma"/>
          <w:bCs/>
          <w:sz w:val="20"/>
        </w:rPr>
        <w:t xml:space="preserve"> </w:t>
      </w:r>
      <w:r w:rsidR="00441F5B" w:rsidRPr="00441F5B">
        <w:rPr>
          <w:rFonts w:ascii="Tahoma" w:hAnsi="Tahoma" w:cs="Tahoma"/>
          <w:bCs/>
          <w:sz w:val="20"/>
        </w:rPr>
        <w:t>Opravljanje plačilnih storitev direktne obremenitve SEPA</w:t>
      </w:r>
      <w:r w:rsidR="00027F8E">
        <w:rPr>
          <w:rFonts w:ascii="Tahoma" w:hAnsi="Tahoma" w:cs="Tahoma"/>
          <w:bCs/>
          <w:sz w:val="20"/>
        </w:rPr>
        <w:t>.</w:t>
      </w:r>
      <w:bookmarkStart w:id="0" w:name="_GoBack"/>
      <w:bookmarkEnd w:id="0"/>
    </w:p>
    <w:p w:rsidR="00441F5B" w:rsidRDefault="00441F5B" w:rsidP="000E7D9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63D0C" w:rsidRPr="007D1E0B" w:rsidRDefault="00763D0C" w:rsidP="000E7D9B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441F5B" w:rsidRDefault="00441F5B" w:rsidP="000E7D9B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4540B0" w:rsidRDefault="00125393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Spoštovani, </w:t>
      </w:r>
      <w:r w:rsidR="004540B0" w:rsidRPr="004540B0">
        <w:rPr>
          <w:rFonts w:ascii="Tahoma" w:hAnsi="Tahoma" w:cs="Tahoma"/>
          <w:bCs/>
          <w:sz w:val="20"/>
        </w:rPr>
        <w:t>V DOKUMENTACIJA V ZVEZI Z ODDAJO JAVNEGA NAROČILA NA SPLOŠNEM PODROČJU Z UPORABO POSTOPKA NAROČILA MALE VREDNOST, Opravljanje plačilnih storitev direktne obremenitve SEPA, je v poglavju II. PREDMET OKVIRNEGA SPORAZUMA, v 3.členu predvideno tudi izvajanje SDD po B2B shemi, kot navedeno spodaj</w:t>
      </w:r>
      <w:r>
        <w:rPr>
          <w:rFonts w:ascii="Tahoma" w:hAnsi="Tahoma" w:cs="Tahoma"/>
          <w:bCs/>
          <w:sz w:val="20"/>
        </w:rPr>
        <w:t>.</w:t>
      </w:r>
      <w:r w:rsidR="004540B0" w:rsidRPr="004540B0">
        <w:rPr>
          <w:rFonts w:ascii="Tahoma" w:hAnsi="Tahoma" w:cs="Tahoma"/>
          <w:bCs/>
          <w:sz w:val="20"/>
        </w:rPr>
        <w:t xml:space="preserve"> </w:t>
      </w:r>
    </w:p>
    <w:p w:rsidR="004540B0" w:rsidRDefault="004540B0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4540B0">
        <w:rPr>
          <w:rFonts w:ascii="Tahoma" w:hAnsi="Tahoma" w:cs="Tahoma"/>
          <w:bCs/>
          <w:sz w:val="20"/>
        </w:rPr>
        <w:br/>
        <w:t>S sklenitvijo tega okvirnega sporazuma se banka prejemnika plačila in prejemnik plačila dogovorita za izvajanje direktnih obremenitev SEPA (v nadaljevanju: SDD) po:</w:t>
      </w:r>
    </w:p>
    <w:p w:rsidR="004540B0" w:rsidRDefault="004540B0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4540B0">
        <w:rPr>
          <w:rFonts w:ascii="Tahoma" w:hAnsi="Tahoma" w:cs="Tahoma"/>
          <w:bCs/>
          <w:sz w:val="20"/>
        </w:rPr>
        <w:sym w:font="Symbol" w:char="F02D"/>
      </w:r>
      <w:r w:rsidRPr="004540B0">
        <w:rPr>
          <w:rFonts w:ascii="Tahoma" w:hAnsi="Tahoma" w:cs="Tahoma"/>
          <w:bCs/>
          <w:sz w:val="20"/>
        </w:rPr>
        <w:t xml:space="preserve"> Osnovni (</w:t>
      </w:r>
      <w:proofErr w:type="spellStart"/>
      <w:r w:rsidRPr="004540B0">
        <w:rPr>
          <w:rFonts w:ascii="Tahoma" w:hAnsi="Tahoma" w:cs="Tahoma"/>
          <w:bCs/>
          <w:sz w:val="20"/>
        </w:rPr>
        <w:t>Core</w:t>
      </w:r>
      <w:proofErr w:type="spellEnd"/>
      <w:r w:rsidRPr="004540B0">
        <w:rPr>
          <w:rFonts w:ascii="Tahoma" w:hAnsi="Tahoma" w:cs="Tahoma"/>
          <w:bCs/>
          <w:sz w:val="20"/>
        </w:rPr>
        <w:t>) shemi SEPA,</w:t>
      </w:r>
    </w:p>
    <w:p w:rsidR="004540B0" w:rsidRDefault="004540B0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4540B0">
        <w:rPr>
          <w:rFonts w:ascii="Tahoma" w:hAnsi="Tahoma" w:cs="Tahoma"/>
          <w:bCs/>
          <w:sz w:val="20"/>
        </w:rPr>
        <w:sym w:font="Symbol" w:char="F02D"/>
      </w:r>
      <w:r w:rsidRPr="004540B0">
        <w:rPr>
          <w:rFonts w:ascii="Tahoma" w:hAnsi="Tahoma" w:cs="Tahoma"/>
          <w:bCs/>
          <w:sz w:val="20"/>
        </w:rPr>
        <w:t xml:space="preserve"> Medpodjetniški B2B shemi SEPA.</w:t>
      </w:r>
    </w:p>
    <w:p w:rsidR="004540B0" w:rsidRDefault="004540B0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4540B0">
        <w:rPr>
          <w:rFonts w:ascii="Tahoma" w:hAnsi="Tahoma" w:cs="Tahoma"/>
          <w:bCs/>
          <w:sz w:val="20"/>
        </w:rPr>
        <w:br/>
        <w:t>Vprašanje glasi:</w:t>
      </w:r>
    </w:p>
    <w:p w:rsidR="004540B0" w:rsidRDefault="004540B0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4540B0">
        <w:rPr>
          <w:rFonts w:ascii="Tahoma" w:hAnsi="Tahoma" w:cs="Tahoma"/>
          <w:bCs/>
          <w:sz w:val="20"/>
        </w:rPr>
        <w:t>Zanima nas ali je izvajanje direktnih obremenitev SEPA po Medpodjetniški B2B shemi SEPA pogoj za sodelovanje v Javnem razpisu in kriterij za izbor končnega izvajalca za navedene storitve. Transakcije direktnih obremenitev SDD do pla</w:t>
      </w:r>
      <w:r w:rsidR="00DD2330">
        <w:rPr>
          <w:rFonts w:ascii="Tahoma" w:hAnsi="Tahoma" w:cs="Tahoma"/>
          <w:bCs/>
          <w:sz w:val="20"/>
        </w:rPr>
        <w:t>čnikov, ki so poslovni subjekti</w:t>
      </w:r>
      <w:r w:rsidRPr="004540B0">
        <w:rPr>
          <w:rFonts w:ascii="Tahoma" w:hAnsi="Tahoma" w:cs="Tahoma"/>
          <w:bCs/>
          <w:sz w:val="20"/>
        </w:rPr>
        <w:t>, se namreč lahko izvajajo tudi po Osnovni (</w:t>
      </w:r>
      <w:proofErr w:type="spellStart"/>
      <w:r w:rsidRPr="004540B0">
        <w:rPr>
          <w:rFonts w:ascii="Tahoma" w:hAnsi="Tahoma" w:cs="Tahoma"/>
          <w:bCs/>
          <w:sz w:val="20"/>
        </w:rPr>
        <w:t>Core</w:t>
      </w:r>
      <w:proofErr w:type="spellEnd"/>
      <w:r w:rsidRPr="004540B0">
        <w:rPr>
          <w:rFonts w:ascii="Tahoma" w:hAnsi="Tahoma" w:cs="Tahoma"/>
          <w:bCs/>
          <w:sz w:val="20"/>
        </w:rPr>
        <w:t>) shemi SEPA.</w:t>
      </w:r>
    </w:p>
    <w:p w:rsidR="004540B0" w:rsidRPr="004540B0" w:rsidRDefault="004540B0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63D0C" w:rsidRPr="007D1E0B" w:rsidRDefault="00763D0C" w:rsidP="000E7D9B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DD2330" w:rsidRPr="00DD2330" w:rsidRDefault="00DD2330" w:rsidP="00DD2330">
      <w:pPr>
        <w:keepNext/>
        <w:keepLines/>
        <w:spacing w:after="120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 xml:space="preserve">Ponudnik mora zagotoviti </w:t>
      </w:r>
      <w:r w:rsidRPr="00DD2330">
        <w:rPr>
          <w:rFonts w:ascii="Tahoma" w:hAnsi="Tahoma" w:cs="Tahoma"/>
          <w:sz w:val="20"/>
          <w:lang w:eastAsia="en-US"/>
        </w:rPr>
        <w:t xml:space="preserve">izvajanje direktnih </w:t>
      </w:r>
      <w:r>
        <w:rPr>
          <w:rFonts w:ascii="Tahoma" w:hAnsi="Tahoma" w:cs="Tahoma"/>
          <w:sz w:val="20"/>
          <w:lang w:eastAsia="en-US"/>
        </w:rPr>
        <w:t xml:space="preserve">obremenitev SEPA </w:t>
      </w:r>
      <w:r w:rsidRPr="00DD2330">
        <w:rPr>
          <w:rFonts w:ascii="Tahoma" w:hAnsi="Tahoma" w:cs="Tahoma"/>
          <w:sz w:val="20"/>
          <w:lang w:eastAsia="en-US"/>
        </w:rPr>
        <w:t>po:</w:t>
      </w:r>
    </w:p>
    <w:p w:rsidR="00DD2330" w:rsidRPr="00DD2330" w:rsidRDefault="00DD2330" w:rsidP="00DD2330">
      <w:pPr>
        <w:keepNext/>
        <w:keepLines/>
        <w:numPr>
          <w:ilvl w:val="0"/>
          <w:numId w:val="4"/>
        </w:numPr>
        <w:ind w:left="644"/>
        <w:jc w:val="both"/>
        <w:rPr>
          <w:rFonts w:ascii="Tahoma" w:hAnsi="Tahoma" w:cs="Tahoma"/>
          <w:sz w:val="20"/>
          <w:lang w:eastAsia="en-US"/>
        </w:rPr>
      </w:pPr>
      <w:r w:rsidRPr="00DD2330">
        <w:rPr>
          <w:rFonts w:ascii="Tahoma" w:hAnsi="Tahoma" w:cs="Tahoma"/>
          <w:sz w:val="20"/>
          <w:lang w:eastAsia="en-US"/>
        </w:rPr>
        <w:t>Osnovni (</w:t>
      </w:r>
      <w:proofErr w:type="spellStart"/>
      <w:r w:rsidRPr="00DD2330">
        <w:rPr>
          <w:rFonts w:ascii="Tahoma" w:hAnsi="Tahoma" w:cs="Tahoma"/>
          <w:sz w:val="20"/>
          <w:lang w:eastAsia="en-US"/>
        </w:rPr>
        <w:t>Core</w:t>
      </w:r>
      <w:proofErr w:type="spellEnd"/>
      <w:r w:rsidRPr="00DD2330">
        <w:rPr>
          <w:rFonts w:ascii="Tahoma" w:hAnsi="Tahoma" w:cs="Tahoma"/>
          <w:sz w:val="20"/>
          <w:lang w:eastAsia="en-US"/>
        </w:rPr>
        <w:t xml:space="preserve">) shemi SEPA, </w:t>
      </w:r>
    </w:p>
    <w:p w:rsidR="00DD2330" w:rsidRPr="00DD2330" w:rsidRDefault="00DD2330" w:rsidP="00DD2330">
      <w:pPr>
        <w:keepNext/>
        <w:keepLines/>
        <w:numPr>
          <w:ilvl w:val="0"/>
          <w:numId w:val="4"/>
        </w:numPr>
        <w:ind w:left="644"/>
        <w:jc w:val="both"/>
        <w:rPr>
          <w:rFonts w:ascii="Tahoma" w:hAnsi="Tahoma" w:cs="Tahoma"/>
          <w:sz w:val="20"/>
          <w:lang w:eastAsia="en-US"/>
        </w:rPr>
      </w:pPr>
      <w:r w:rsidRPr="00DD2330">
        <w:rPr>
          <w:rFonts w:ascii="Tahoma" w:hAnsi="Tahoma" w:cs="Tahoma"/>
          <w:sz w:val="20"/>
          <w:lang w:eastAsia="en-US"/>
        </w:rPr>
        <w:t>Medpodjetniški B2B shemi SEPA.</w:t>
      </w:r>
    </w:p>
    <w:p w:rsidR="00DD2330" w:rsidRDefault="00DD2330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DD2330" w:rsidRPr="00DD2330" w:rsidRDefault="00DD2330" w:rsidP="00DD2330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Ponudnik mora torej zagotoviti izvedbo storitev tudi po </w:t>
      </w:r>
      <w:r w:rsidRPr="004540B0">
        <w:rPr>
          <w:rFonts w:ascii="Tahoma" w:hAnsi="Tahoma" w:cs="Tahoma"/>
          <w:bCs/>
          <w:sz w:val="20"/>
        </w:rPr>
        <w:t>Medpodjetniški B2B shemi SEPA</w:t>
      </w:r>
      <w:r>
        <w:rPr>
          <w:rFonts w:ascii="Tahoma" w:hAnsi="Tahoma" w:cs="Tahoma"/>
          <w:bCs/>
          <w:sz w:val="20"/>
        </w:rPr>
        <w:t xml:space="preserve">, kar predstavlja pogoj naročnika. Ponudba, ki ne bo zagotavljala izvedbo navedenih storitev po </w:t>
      </w:r>
      <w:r>
        <w:rPr>
          <w:rFonts w:ascii="Tahoma" w:hAnsi="Tahoma" w:cs="Tahoma"/>
          <w:sz w:val="20"/>
          <w:lang w:eastAsia="en-US"/>
        </w:rPr>
        <w:t>Osnovni (</w:t>
      </w:r>
      <w:proofErr w:type="spellStart"/>
      <w:r>
        <w:rPr>
          <w:rFonts w:ascii="Tahoma" w:hAnsi="Tahoma" w:cs="Tahoma"/>
          <w:sz w:val="20"/>
          <w:lang w:eastAsia="en-US"/>
        </w:rPr>
        <w:t>Core</w:t>
      </w:r>
      <w:proofErr w:type="spellEnd"/>
      <w:r>
        <w:rPr>
          <w:rFonts w:ascii="Tahoma" w:hAnsi="Tahoma" w:cs="Tahoma"/>
          <w:sz w:val="20"/>
          <w:lang w:eastAsia="en-US"/>
        </w:rPr>
        <w:t>) shemi SEPA in</w:t>
      </w:r>
      <w:r w:rsidRPr="00DD2330">
        <w:rPr>
          <w:rFonts w:ascii="Tahoma" w:hAnsi="Tahoma" w:cs="Tahoma"/>
          <w:sz w:val="20"/>
          <w:lang w:eastAsia="en-US"/>
        </w:rPr>
        <w:t xml:space="preserve"> </w:t>
      </w:r>
      <w:r>
        <w:rPr>
          <w:rFonts w:ascii="Tahoma" w:hAnsi="Tahoma" w:cs="Tahoma"/>
          <w:sz w:val="20"/>
          <w:lang w:eastAsia="en-US"/>
        </w:rPr>
        <w:t>Medpodjetniški B2B shemi SEPA</w:t>
      </w:r>
      <w:r w:rsidR="00125393">
        <w:rPr>
          <w:rFonts w:ascii="Tahoma" w:hAnsi="Tahoma" w:cs="Tahoma"/>
          <w:sz w:val="20"/>
          <w:lang w:eastAsia="en-US"/>
        </w:rPr>
        <w:t>, bo</w:t>
      </w:r>
      <w:r w:rsidR="008924E2">
        <w:rPr>
          <w:rFonts w:ascii="Tahoma" w:hAnsi="Tahoma" w:cs="Tahoma"/>
          <w:sz w:val="20"/>
          <w:lang w:eastAsia="en-US"/>
        </w:rPr>
        <w:t xml:space="preserve"> izločena iz nadaljnjega ocenjevanja.</w:t>
      </w:r>
    </w:p>
    <w:p w:rsidR="00DD2330" w:rsidRDefault="00DD2330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4540B0" w:rsidRPr="004540B0" w:rsidRDefault="004540B0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4540B0">
        <w:rPr>
          <w:rFonts w:ascii="Tahoma" w:hAnsi="Tahoma" w:cs="Tahoma"/>
          <w:bCs/>
          <w:sz w:val="20"/>
        </w:rPr>
        <w:t xml:space="preserve">Medpodjetniški B2B shema SEPA </w:t>
      </w:r>
      <w:r w:rsidR="008924E2">
        <w:rPr>
          <w:rFonts w:ascii="Tahoma" w:hAnsi="Tahoma" w:cs="Tahoma"/>
          <w:bCs/>
          <w:sz w:val="20"/>
        </w:rPr>
        <w:t xml:space="preserve">pa </w:t>
      </w:r>
      <w:r w:rsidRPr="004540B0">
        <w:rPr>
          <w:rFonts w:ascii="Tahoma" w:hAnsi="Tahoma" w:cs="Tahoma"/>
          <w:bCs/>
          <w:sz w:val="20"/>
        </w:rPr>
        <w:t>ni kriterij</w:t>
      </w:r>
      <w:r w:rsidR="00DD2330">
        <w:rPr>
          <w:rFonts w:ascii="Tahoma" w:hAnsi="Tahoma" w:cs="Tahoma"/>
          <w:bCs/>
          <w:sz w:val="20"/>
        </w:rPr>
        <w:t xml:space="preserve"> (merilo)</w:t>
      </w:r>
      <w:r w:rsidRPr="004540B0">
        <w:rPr>
          <w:rFonts w:ascii="Tahoma" w:hAnsi="Tahoma" w:cs="Tahoma"/>
          <w:bCs/>
          <w:sz w:val="20"/>
        </w:rPr>
        <w:t xml:space="preserve"> za izbor končnega izvajalca. Merilo za izbiro cenovno najugodnejšega ponudnika je najnižja ponudbena vrednost nadomestila za izvršen plačilni nalog SDD v EUR brez DDV.</w:t>
      </w:r>
    </w:p>
    <w:p w:rsidR="00E47609" w:rsidRDefault="00E47609" w:rsidP="000E7D9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56BAF" w:rsidRDefault="00856BAF" w:rsidP="000E7D9B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0E7D9B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0E7D9B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0E7D9B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0E7D9B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8924E2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6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9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7"/>
  </w:num>
  <w:num w:numId="16">
    <w:abstractNumId w:val="16"/>
  </w:num>
  <w:num w:numId="17">
    <w:abstractNumId w:val="5"/>
  </w:num>
  <w:num w:numId="18">
    <w:abstractNumId w:val="12"/>
  </w:num>
  <w:num w:numId="19">
    <w:abstractNumId w:val="9"/>
  </w:num>
  <w:num w:numId="20">
    <w:abstractNumId w:val="11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A258F"/>
    <w:rsid w:val="007B175D"/>
    <w:rsid w:val="007C3B30"/>
    <w:rsid w:val="007C494E"/>
    <w:rsid w:val="007D1E0B"/>
    <w:rsid w:val="007D6B63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C4B0F"/>
    <w:rsid w:val="00BD33AF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D2330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A113AF3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D8B7-3EAE-40F5-9C0E-01A0CD5F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4</cp:revision>
  <cp:lastPrinted>2018-12-10T05:59:00Z</cp:lastPrinted>
  <dcterms:created xsi:type="dcterms:W3CDTF">2020-02-14T06:36:00Z</dcterms:created>
  <dcterms:modified xsi:type="dcterms:W3CDTF">2020-02-17T06:56:00Z</dcterms:modified>
</cp:coreProperties>
</file>