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6D3D30" w:rsidRDefault="00CF046F" w:rsidP="006D3D30">
      <w:pPr>
        <w:keepNext/>
        <w:keepLines/>
        <w:shd w:val="clear" w:color="auto" w:fill="FFFFFF"/>
        <w:spacing w:after="0" w:line="240" w:lineRule="auto"/>
        <w:jc w:val="center"/>
        <w:rPr>
          <w:rFonts w:ascii="Tahoma" w:hAnsi="Tahoma" w:cs="Tahoma"/>
          <w:b/>
          <w:bCs/>
          <w:lang w:eastAsia="zh-CN"/>
        </w:rPr>
      </w:pPr>
      <w:r w:rsidRPr="006D3D30">
        <w:rPr>
          <w:rFonts w:ascii="Tahoma" w:hAnsi="Tahoma" w:cs="Tahoma"/>
          <w:b/>
          <w:bCs/>
          <w:lang w:eastAsia="zh-CN"/>
        </w:rPr>
        <w:t>POSEBNI SPORAZUM O OBDELAVI OSEBNIH PODATKOV</w:t>
      </w:r>
    </w:p>
    <w:p w14:paraId="127DDBB4" w14:textId="2C5F9F7D" w:rsidR="00B462F7" w:rsidRPr="00B462F7" w:rsidRDefault="00F97909" w:rsidP="00B462F7">
      <w:pPr>
        <w:keepNext/>
        <w:keepLines/>
        <w:widowControl w:val="0"/>
        <w:spacing w:after="0" w:line="240" w:lineRule="auto"/>
        <w:jc w:val="center"/>
        <w:rPr>
          <w:rFonts w:ascii="Tahoma" w:hAnsi="Tahoma" w:cs="Tahoma"/>
          <w:b/>
        </w:rPr>
      </w:pPr>
      <w:r w:rsidRPr="006D3D30">
        <w:rPr>
          <w:rFonts w:ascii="Tahoma" w:hAnsi="Tahoma" w:cs="Tahoma"/>
          <w:b/>
          <w:bCs/>
          <w:lang w:eastAsia="zh-CN"/>
        </w:rPr>
        <w:t xml:space="preserve">K </w:t>
      </w:r>
      <w:r w:rsidR="00562F63">
        <w:rPr>
          <w:rFonts w:ascii="Tahoma" w:hAnsi="Tahoma" w:cs="Tahoma"/>
          <w:b/>
          <w:bCs/>
          <w:lang w:eastAsia="zh-CN"/>
        </w:rPr>
        <w:t>POGODBI ZA NABAVO STREŽNIŠKIH REZIN ZA PRODUKCIJO</w:t>
      </w:r>
      <w:r w:rsidR="00B462F7" w:rsidRPr="00B462F7">
        <w:rPr>
          <w:rFonts w:ascii="Tahoma" w:hAnsi="Tahoma" w:cs="Tahoma"/>
          <w:b/>
        </w:rPr>
        <w:t>«</w:t>
      </w:r>
    </w:p>
    <w:p w14:paraId="016242FD" w14:textId="77777777" w:rsidR="00B462F7" w:rsidRPr="00B462F7" w:rsidRDefault="00B462F7" w:rsidP="00B462F7">
      <w:pPr>
        <w:keepNext/>
        <w:keepLines/>
        <w:widowControl w:val="0"/>
        <w:spacing w:after="0" w:line="240" w:lineRule="auto"/>
        <w:jc w:val="center"/>
        <w:rPr>
          <w:rFonts w:ascii="Tahoma" w:hAnsi="Tahoma" w:cs="Tahoma"/>
          <w:b/>
        </w:rPr>
      </w:pPr>
    </w:p>
    <w:p w14:paraId="1281B747" w14:textId="5989B1FB" w:rsidR="00CF046F" w:rsidRDefault="00CF046F" w:rsidP="000226B7">
      <w:pPr>
        <w:keepNext/>
        <w:keepLines/>
        <w:widowControl w:val="0"/>
        <w:spacing w:after="0" w:line="240" w:lineRule="auto"/>
        <w:jc w:val="center"/>
        <w:rPr>
          <w:rFonts w:ascii="Tahoma" w:hAnsi="Tahoma" w:cs="Tahoma"/>
          <w:b/>
          <w:bCs/>
          <w:sz w:val="20"/>
          <w:szCs w:val="20"/>
          <w:lang w:eastAsia="zh-CN"/>
        </w:rPr>
      </w:pP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56116D5E"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 xml:space="preserve">Stranki </w:t>
      </w:r>
      <w:r w:rsidR="00562F63">
        <w:rPr>
          <w:rFonts w:ascii="Tahoma" w:hAnsi="Tahoma" w:cs="Tahoma"/>
          <w:sz w:val="20"/>
          <w:szCs w:val="20"/>
          <w:lang w:eastAsia="zh-CN"/>
        </w:rPr>
        <w:t>pogodbe</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122ADF4A" w:rsidR="00CF046F" w:rsidRPr="00B462F7"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562F63">
        <w:rPr>
          <w:rFonts w:ascii="Tahoma" w:hAnsi="Tahoma" w:cs="Tahoma"/>
          <w:sz w:val="20"/>
          <w:szCs w:val="20"/>
          <w:lang w:eastAsia="zh-CN"/>
        </w:rPr>
        <w:t>pogodbo</w:t>
      </w:r>
      <w:r w:rsidR="00CF2F46">
        <w:rPr>
          <w:rFonts w:ascii="Tahoma" w:hAnsi="Tahoma" w:cs="Tahoma"/>
          <w:sz w:val="20"/>
          <w:szCs w:val="20"/>
          <w:lang w:eastAsia="zh-CN"/>
        </w:rPr>
        <w:t xml:space="preserve"> št. ……………… za </w:t>
      </w:r>
      <w:r w:rsidR="00562F63">
        <w:rPr>
          <w:rFonts w:ascii="Tahoma" w:hAnsi="Tahoma" w:cs="Tahoma"/>
          <w:color w:val="000000"/>
          <w:sz w:val="20"/>
          <w:szCs w:val="20"/>
        </w:rPr>
        <w:t>nabavo strežniških rezin za produkcijo</w:t>
      </w:r>
      <w:r w:rsidR="00AE641B" w:rsidRPr="00B462F7">
        <w:rPr>
          <w:rFonts w:ascii="Tahoma" w:hAnsi="Tahoma" w:cs="Tahoma"/>
          <w:sz w:val="20"/>
          <w:szCs w:val="20"/>
          <w:lang w:eastAsia="zh-CN"/>
        </w:rPr>
        <w:t xml:space="preserve">  </w:t>
      </w:r>
      <w:r w:rsidR="00F97909" w:rsidRPr="00B462F7">
        <w:rPr>
          <w:rFonts w:ascii="Tahoma" w:hAnsi="Tahoma" w:cs="Tahoma"/>
          <w:sz w:val="20"/>
          <w:szCs w:val="20"/>
          <w:lang w:eastAsia="zh-CN"/>
        </w:rPr>
        <w:t xml:space="preserve">(v nadaljevanju: </w:t>
      </w:r>
      <w:r w:rsidR="00562F63">
        <w:rPr>
          <w:rFonts w:ascii="Tahoma" w:hAnsi="Tahoma" w:cs="Tahoma"/>
          <w:sz w:val="20"/>
          <w:szCs w:val="20"/>
          <w:lang w:eastAsia="zh-CN"/>
        </w:rPr>
        <w:t>pogodba</w:t>
      </w:r>
      <w:r w:rsidR="00B462F7">
        <w:rPr>
          <w:rFonts w:ascii="Tahoma" w:hAnsi="Tahoma" w:cs="Tahoma"/>
          <w:sz w:val="20"/>
          <w:szCs w:val="20"/>
          <w:lang w:eastAsia="zh-CN"/>
        </w:rPr>
        <w:t xml:space="preserve">; št. postopka: </w:t>
      </w:r>
      <w:r w:rsidR="00562F63">
        <w:rPr>
          <w:rFonts w:ascii="Tahoma" w:hAnsi="Tahoma" w:cs="Tahoma"/>
          <w:sz w:val="20"/>
          <w:szCs w:val="20"/>
          <w:lang w:eastAsia="zh-CN"/>
        </w:rPr>
        <w:t>JHL-26/23</w:t>
      </w:r>
      <w:r w:rsidR="004C5841" w:rsidRPr="00B462F7">
        <w:rPr>
          <w:rFonts w:ascii="Tahoma" w:hAnsi="Tahoma" w:cs="Tahoma"/>
          <w:sz w:val="20"/>
          <w:szCs w:val="20"/>
          <w:lang w:eastAsia="zh-CN"/>
        </w:rPr>
        <w:t>);</w:t>
      </w:r>
    </w:p>
    <w:p w14:paraId="6510DE86" w14:textId="79FB6E18"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B462F7">
        <w:rPr>
          <w:rFonts w:ascii="Tahoma" w:hAnsi="Tahoma" w:cs="Tahoma"/>
          <w:sz w:val="20"/>
          <w:szCs w:val="20"/>
          <w:lang w:eastAsia="zh-CN"/>
        </w:rPr>
        <w:t xml:space="preserve">da na podlagi </w:t>
      </w:r>
      <w:r w:rsidR="00562F63">
        <w:rPr>
          <w:rFonts w:ascii="Tahoma" w:hAnsi="Tahoma" w:cs="Tahoma"/>
          <w:sz w:val="20"/>
          <w:szCs w:val="20"/>
          <w:lang w:eastAsia="zh-CN"/>
        </w:rPr>
        <w:t>pogodbe</w:t>
      </w:r>
      <w:r w:rsidR="00CF046F" w:rsidRPr="00B462F7">
        <w:rPr>
          <w:rFonts w:ascii="Tahoma" w:hAnsi="Tahoma" w:cs="Tahoma"/>
          <w:sz w:val="20"/>
          <w:szCs w:val="20"/>
          <w:lang w:eastAsia="zh-CN"/>
        </w:rPr>
        <w:t xml:space="preserve"> izvajalec kot obdelovalec </w:t>
      </w:r>
      <w:r w:rsidR="0039224D" w:rsidRPr="00B462F7">
        <w:rPr>
          <w:rFonts w:ascii="Tahoma" w:hAnsi="Tahoma" w:cs="Tahoma"/>
          <w:sz w:val="20"/>
          <w:szCs w:val="20"/>
          <w:lang w:eastAsia="zh-CN"/>
        </w:rPr>
        <w:t>(</w:t>
      </w:r>
      <w:r w:rsidR="00C555DF" w:rsidRPr="00B462F7">
        <w:rPr>
          <w:rFonts w:ascii="Tahoma" w:hAnsi="Tahoma" w:cs="Tahoma"/>
          <w:sz w:val="20"/>
          <w:szCs w:val="20"/>
          <w:lang w:eastAsia="zh-CN"/>
        </w:rPr>
        <w:t xml:space="preserve">v nadaljevanju: </w:t>
      </w:r>
      <w:r w:rsidR="0039224D" w:rsidRPr="00B462F7">
        <w:rPr>
          <w:rFonts w:ascii="Tahoma" w:hAnsi="Tahoma" w:cs="Tahoma"/>
          <w:sz w:val="20"/>
          <w:szCs w:val="20"/>
          <w:lang w:eastAsia="zh-CN"/>
        </w:rPr>
        <w:t xml:space="preserve">obdelovalec) </w:t>
      </w:r>
      <w:r w:rsidRPr="00B462F7">
        <w:rPr>
          <w:rFonts w:ascii="Tahoma" w:hAnsi="Tahoma" w:cs="Tahoma"/>
          <w:sz w:val="20"/>
          <w:szCs w:val="20"/>
          <w:lang w:eastAsia="zh-CN"/>
        </w:rPr>
        <w:t xml:space="preserve">za </w:t>
      </w:r>
      <w:r w:rsidR="00CF046F" w:rsidRPr="00B462F7">
        <w:rPr>
          <w:rFonts w:ascii="Tahoma" w:hAnsi="Tahoma" w:cs="Tahoma"/>
          <w:sz w:val="20"/>
          <w:szCs w:val="20"/>
          <w:lang w:eastAsia="zh-CN"/>
        </w:rPr>
        <w:t>naročnika</w:t>
      </w:r>
      <w:r w:rsidR="00C555DF" w:rsidRPr="00B462F7">
        <w:rPr>
          <w:rFonts w:ascii="Tahoma" w:hAnsi="Tahoma" w:cs="Tahoma"/>
          <w:sz w:val="20"/>
          <w:szCs w:val="20"/>
          <w:lang w:eastAsia="zh-CN"/>
        </w:rPr>
        <w:t xml:space="preserve"> kot upravljavca</w:t>
      </w:r>
      <w:r w:rsidR="00AE641B" w:rsidRPr="00B462F7">
        <w:rPr>
          <w:rFonts w:ascii="Tahoma" w:hAnsi="Tahoma" w:cs="Tahoma"/>
          <w:sz w:val="20"/>
          <w:szCs w:val="20"/>
          <w:lang w:eastAsia="zh-CN"/>
        </w:rPr>
        <w:t xml:space="preserve"> opravlja storitev </w:t>
      </w:r>
      <w:r w:rsidR="00562F63">
        <w:rPr>
          <w:rFonts w:ascii="Tahoma" w:hAnsi="Tahoma" w:cs="Tahoma"/>
          <w:sz w:val="20"/>
          <w:szCs w:val="20"/>
          <w:lang w:eastAsia="zh-CN"/>
        </w:rPr>
        <w:t>nabave strežniških rezin za produkcijo</w:t>
      </w:r>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225C0F58"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562F63">
        <w:rPr>
          <w:rFonts w:ascii="Tahoma" w:hAnsi="Tahoma" w:cs="Tahoma"/>
          <w:sz w:val="20"/>
          <w:szCs w:val="20"/>
          <w:lang w:eastAsia="zh-CN"/>
        </w:rPr>
        <w:t>i pogodbi</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562F63">
        <w:rPr>
          <w:rFonts w:ascii="Tahoma" w:hAnsi="Tahoma" w:cs="Tahoma"/>
          <w:sz w:val="20"/>
          <w:szCs w:val="20"/>
          <w:lang w:eastAsia="zh-CN"/>
        </w:rPr>
        <w:t>pogodbi</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4331B864"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562F63">
        <w:rPr>
          <w:rFonts w:ascii="Tahoma" w:hAnsi="Tahoma" w:cs="Tahoma"/>
          <w:sz w:val="20"/>
          <w:szCs w:val="20"/>
          <w:lang w:eastAsia="zh-CN"/>
        </w:rPr>
        <w:t>pogodbe</w:t>
      </w:r>
      <w:r w:rsidR="003C7391">
        <w:rPr>
          <w:rFonts w:ascii="Tahoma" w:hAnsi="Tahoma" w:cs="Tahoma"/>
          <w:sz w:val="20"/>
          <w:szCs w:val="20"/>
          <w:lang w:eastAsia="zh-CN"/>
        </w:rPr>
        <w:t xml:space="preserve">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562F63">
        <w:rPr>
          <w:rFonts w:ascii="Tahoma" w:hAnsi="Tahoma" w:cs="Tahoma"/>
          <w:sz w:val="20"/>
          <w:szCs w:val="20"/>
          <w:lang w:eastAsia="zh-CN"/>
        </w:rPr>
        <w:t>pogodbi</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6FBC516E"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562F63">
        <w:rPr>
          <w:rFonts w:ascii="Tahoma" w:hAnsi="Tahoma" w:cs="Tahoma"/>
          <w:sz w:val="20"/>
          <w:szCs w:val="20"/>
        </w:rPr>
        <w:t>s</w:t>
      </w:r>
      <w:r w:rsidR="003C7391">
        <w:rPr>
          <w:rFonts w:ascii="Tahoma" w:hAnsi="Tahoma" w:cs="Tahoma"/>
          <w:sz w:val="20"/>
          <w:szCs w:val="20"/>
        </w:rPr>
        <w:t xml:space="preserve"> </w:t>
      </w:r>
      <w:r w:rsidR="00562F63">
        <w:rPr>
          <w:rFonts w:ascii="Tahoma" w:hAnsi="Tahoma" w:cs="Tahoma"/>
          <w:sz w:val="20"/>
          <w:szCs w:val="20"/>
        </w:rPr>
        <w:t>pogodbo</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20D37A36"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B92110">
        <w:rPr>
          <w:rFonts w:ascii="Tahoma" w:hAnsi="Tahoma" w:cs="Tahoma"/>
          <w:sz w:val="20"/>
          <w:szCs w:val="20"/>
        </w:rPr>
        <w:t>pogodbe</w:t>
      </w:r>
      <w:r w:rsidR="00CF2F46">
        <w:rPr>
          <w:rFonts w:ascii="Tahoma" w:hAnsi="Tahoma" w:cs="Tahoma"/>
          <w:sz w:val="20"/>
          <w:szCs w:val="20"/>
        </w:rPr>
        <w:t xml:space="preserv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2DE9ABE8"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562F63">
        <w:rPr>
          <w:rFonts w:ascii="Tahoma" w:hAnsi="Tahoma" w:cs="Tahoma"/>
          <w:sz w:val="20"/>
          <w:szCs w:val="20"/>
        </w:rPr>
        <w:t xml:space="preserve"> 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1E3E590C"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B92110">
        <w:rPr>
          <w:rFonts w:ascii="Tahoma" w:hAnsi="Tahoma" w:cs="Tahoma"/>
          <w:sz w:val="20"/>
          <w:szCs w:val="20"/>
          <w:lang w:eastAsia="zh-CN"/>
        </w:rPr>
        <w:t>pogodbe</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0DA2AAE1"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562F63">
        <w:rPr>
          <w:rFonts w:ascii="Tahoma" w:hAnsi="Tahoma" w:cs="Tahoma"/>
          <w:sz w:val="20"/>
          <w:szCs w:val="20"/>
          <w:lang w:eastAsia="zh-CN"/>
        </w:rPr>
        <w:t>pogodbe</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3F04DFB1"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61BEB1E1"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46CD3C2B"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562F63">
        <w:rPr>
          <w:rFonts w:ascii="Tahoma" w:hAnsi="Tahoma" w:cs="Tahoma"/>
          <w:sz w:val="20"/>
          <w:szCs w:val="20"/>
          <w:lang w:eastAsia="zh-CN"/>
        </w:rPr>
        <w:t>pogodbe</w:t>
      </w:r>
      <w:r w:rsidRPr="007C7EBD">
        <w:rPr>
          <w:rFonts w:ascii="Tahoma" w:hAnsi="Tahoma" w:cs="Tahoma"/>
          <w:sz w:val="20"/>
          <w:szCs w:val="20"/>
        </w:rPr>
        <w:t xml:space="preserve"> sprejeti in izvajati,</w:t>
      </w:r>
    </w:p>
    <w:p w14:paraId="00BC6E1F" w14:textId="033ED0D7"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562F63">
        <w:rPr>
          <w:rFonts w:ascii="Tahoma" w:hAnsi="Tahoma" w:cs="Tahoma"/>
          <w:sz w:val="20"/>
          <w:szCs w:val="20"/>
          <w:lang w:eastAsia="zh-CN"/>
        </w:rPr>
        <w:t>pogodbe</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6C4350D1"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049A5C0A"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 xml:space="preserve">znosti iz te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562F63">
        <w:rPr>
          <w:rFonts w:ascii="Tahoma" w:hAnsi="Tahoma" w:cs="Tahoma"/>
          <w:sz w:val="20"/>
          <w:szCs w:val="20"/>
          <w:lang w:eastAsia="zh-CN"/>
        </w:rPr>
        <w:t>pogodbe</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5FC04588"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562F63">
        <w:rPr>
          <w:rFonts w:ascii="Tahoma" w:hAnsi="Tahoma" w:cs="Tahoma"/>
          <w:sz w:val="20"/>
          <w:szCs w:val="20"/>
          <w:lang w:eastAsia="zh-CN"/>
        </w:rPr>
        <w:t>pogodbe</w:t>
      </w:r>
      <w:r w:rsidRPr="007C7EBD">
        <w:rPr>
          <w:rFonts w:ascii="Tahoma" w:hAnsi="Tahoma" w:cs="Tahoma"/>
          <w:sz w:val="20"/>
          <w:szCs w:val="20"/>
          <w:lang w:eastAsia="zh-CN"/>
        </w:rPr>
        <w:t>. Spo</w:t>
      </w:r>
      <w:r w:rsidR="009F60EE">
        <w:rPr>
          <w:rFonts w:ascii="Tahoma" w:hAnsi="Tahoma" w:cs="Tahoma"/>
          <w:sz w:val="20"/>
          <w:szCs w:val="20"/>
          <w:lang w:eastAsia="zh-CN"/>
        </w:rPr>
        <w:t xml:space="preserve">razum se šteje za sestavni del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562F63">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47047412"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562F63">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F2B8E6B" w14:textId="5B52494B" w:rsidR="00516652"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562F63">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7ED2B28F" w14:textId="77777777" w:rsidR="00562F63" w:rsidRPr="007C7EBD" w:rsidRDefault="00562F63"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507664A4"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B92110">
        <w:rPr>
          <w:rFonts w:ascii="Tahoma" w:hAnsi="Tahoma" w:cs="Tahoma"/>
          <w:sz w:val="20"/>
          <w:szCs w:val="20"/>
          <w:lang w:eastAsia="zh-CN"/>
        </w:rPr>
        <w:t>štirih</w:t>
      </w:r>
      <w:r w:rsidR="001068E1">
        <w:rPr>
          <w:rFonts w:ascii="Tahoma" w:hAnsi="Tahoma" w:cs="Tahoma"/>
          <w:sz w:val="20"/>
          <w:szCs w:val="20"/>
          <w:lang w:eastAsia="zh-CN"/>
        </w:rPr>
        <w:t xml:space="preserve"> (</w:t>
      </w:r>
      <w:r w:rsidR="00B92110">
        <w:rPr>
          <w:rFonts w:ascii="Tahoma" w:hAnsi="Tahoma" w:cs="Tahoma"/>
          <w:sz w:val="20"/>
          <w:szCs w:val="20"/>
          <w:lang w:eastAsia="zh-CN"/>
        </w:rPr>
        <w:t>4</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B92110">
        <w:rPr>
          <w:rFonts w:ascii="Tahoma" w:hAnsi="Tahoma" w:cs="Tahoma"/>
          <w:sz w:val="20"/>
          <w:szCs w:val="20"/>
          <w:lang w:eastAsia="zh-CN"/>
        </w:rPr>
        <w:t>naročnik tri (3) izvode</w:t>
      </w:r>
      <w:bookmarkStart w:id="0" w:name="_GoBack"/>
      <w:bookmarkEnd w:id="0"/>
      <w:r w:rsidR="00CF2F46">
        <w:rPr>
          <w:rFonts w:ascii="Tahoma" w:hAnsi="Tahoma" w:cs="Tahoma"/>
          <w:sz w:val="20"/>
          <w:szCs w:val="20"/>
          <w:lang w:eastAsia="zh-CN"/>
        </w:rPr>
        <w:t xml:space="preserve">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2745DFF3"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CF2F46">
        <w:rPr>
          <w:rFonts w:ascii="Tahoma" w:eastAsia="Times New Roman" w:hAnsi="Tahoma" w:cs="Tahoma"/>
          <w:sz w:val="20"/>
          <w:szCs w:val="20"/>
          <w:lang w:eastAsia="sl-SI"/>
        </w:rPr>
        <w:t>……………….</w:t>
      </w:r>
      <w:r w:rsidRPr="000217AF">
        <w:rPr>
          <w:rFonts w:ascii="Tahoma" w:eastAsia="Times New Roman" w:hAnsi="Tahoma" w:cs="Tahoma"/>
          <w:sz w:val="20"/>
          <w:szCs w:val="20"/>
          <w:lang w:eastAsia="sl-SI"/>
        </w:rPr>
        <w:t>, dne ____________</w:t>
      </w:r>
    </w:p>
    <w:p w14:paraId="0930F757" w14:textId="4AFDCCF7" w:rsidR="00083ECB" w:rsidRPr="00392EE0" w:rsidRDefault="000217AF" w:rsidP="00B462F7">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7D68E973" w14:textId="17C8B0BD"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b/>
          <w:sz w:val="20"/>
          <w:szCs w:val="20"/>
          <w:lang w:eastAsia="sl-SI"/>
        </w:rPr>
        <w:t xml:space="preserve">NAROČNIK: </w:t>
      </w:r>
      <w:r w:rsidRPr="00B462F7">
        <w:rPr>
          <w:rFonts w:ascii="Tahoma" w:eastAsia="Times New Roman" w:hAnsi="Tahoma" w:cs="Tahoma"/>
          <w:b/>
          <w:sz w:val="20"/>
          <w:szCs w:val="20"/>
          <w:lang w:eastAsia="sl-SI"/>
        </w:rPr>
        <w:tab/>
      </w:r>
      <w:r w:rsidRPr="00B462F7">
        <w:rPr>
          <w:rFonts w:ascii="Tahoma" w:eastAsia="Times New Roman" w:hAnsi="Tahoma" w:cs="Tahoma"/>
          <w:b/>
          <w:sz w:val="20"/>
          <w:szCs w:val="20"/>
          <w:lang w:eastAsia="sl-SI"/>
        </w:rPr>
        <w:tab/>
        <w:t>IZVAJALEC:</w:t>
      </w:r>
    </w:p>
    <w:p w14:paraId="3CD0D1B2" w14:textId="09694076"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 xml:space="preserve">JAVNI HOLDING Ljubljana, d.o.o. </w:t>
      </w: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r>
    </w:p>
    <w:p w14:paraId="3209695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p>
    <w:p w14:paraId="2E19FF2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Direktor:</w:t>
      </w: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t>Direktor:</w:t>
      </w:r>
    </w:p>
    <w:p w14:paraId="3161A98B" w14:textId="62160CA3" w:rsidR="00B462F7" w:rsidRPr="00083ECB"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b/>
          <w:sz w:val="20"/>
          <w:szCs w:val="20"/>
          <w:lang w:eastAsia="sl-SI"/>
        </w:rPr>
        <w:t>Krištof Mlakar</w:t>
      </w:r>
      <w:r w:rsidRPr="00B462F7">
        <w:rPr>
          <w:rFonts w:ascii="Tahoma" w:eastAsia="Times New Roman" w:hAnsi="Tahoma" w:cs="Tahoma"/>
          <w:sz w:val="20"/>
          <w:szCs w:val="20"/>
          <w:lang w:eastAsia="sl-SI"/>
        </w:rPr>
        <w:t xml:space="preserve"> </w:t>
      </w:r>
      <w:r w:rsidR="00083ECB">
        <w:rPr>
          <w:rFonts w:ascii="Tahoma" w:eastAsia="Times New Roman" w:hAnsi="Tahoma" w:cs="Tahoma"/>
          <w:sz w:val="20"/>
          <w:szCs w:val="20"/>
          <w:lang w:eastAsia="sl-SI"/>
        </w:rPr>
        <w:t xml:space="preserve">                                                                   </w:t>
      </w:r>
    </w:p>
    <w:p w14:paraId="0AB217D6" w14:textId="77777777" w:rsidR="00B462F7" w:rsidRPr="00B462F7" w:rsidRDefault="00B462F7" w:rsidP="00B462F7">
      <w:pPr>
        <w:keepLines/>
        <w:tabs>
          <w:tab w:val="left" w:pos="5245"/>
        </w:tabs>
        <w:spacing w:after="0" w:line="240" w:lineRule="auto"/>
        <w:rPr>
          <w:rFonts w:ascii="Tahoma" w:eastAsia="Times New Roman" w:hAnsi="Tahoma" w:cs="Tahoma"/>
          <w:b/>
          <w:sz w:val="20"/>
          <w:szCs w:val="20"/>
          <w:lang w:eastAsia="sl-SI"/>
        </w:rPr>
      </w:pPr>
    </w:p>
    <w:p w14:paraId="6954C861" w14:textId="77777777" w:rsidR="00762910" w:rsidRPr="006D3D30" w:rsidRDefault="00762910" w:rsidP="00B462F7">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7EE890AA" w:rsidR="00532B40" w:rsidRDefault="00532B40">
        <w:pPr>
          <w:pStyle w:val="Noga"/>
          <w:jc w:val="right"/>
        </w:pPr>
        <w:r>
          <w:fldChar w:fldCharType="begin"/>
        </w:r>
        <w:r>
          <w:instrText>PAGE   \* MERGEFORMAT</w:instrText>
        </w:r>
        <w:r>
          <w:fldChar w:fldCharType="separate"/>
        </w:r>
        <w:r w:rsidR="00B92110">
          <w:rPr>
            <w:noProof/>
          </w:rPr>
          <w:t>3</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60F55"/>
    <w:rsid w:val="00083ECB"/>
    <w:rsid w:val="000C4370"/>
    <w:rsid w:val="001068E1"/>
    <w:rsid w:val="0013479D"/>
    <w:rsid w:val="00136FD0"/>
    <w:rsid w:val="00137784"/>
    <w:rsid w:val="00156B75"/>
    <w:rsid w:val="001A7CE0"/>
    <w:rsid w:val="001B0BA0"/>
    <w:rsid w:val="001E1385"/>
    <w:rsid w:val="001F0E28"/>
    <w:rsid w:val="001F61CF"/>
    <w:rsid w:val="0020298A"/>
    <w:rsid w:val="002434C3"/>
    <w:rsid w:val="00280542"/>
    <w:rsid w:val="0029687D"/>
    <w:rsid w:val="002A49A3"/>
    <w:rsid w:val="00302869"/>
    <w:rsid w:val="00363BDB"/>
    <w:rsid w:val="0039224D"/>
    <w:rsid w:val="00392EE0"/>
    <w:rsid w:val="003C7391"/>
    <w:rsid w:val="003E1B70"/>
    <w:rsid w:val="00421317"/>
    <w:rsid w:val="0044162F"/>
    <w:rsid w:val="00475580"/>
    <w:rsid w:val="0049788A"/>
    <w:rsid w:val="004A7AEA"/>
    <w:rsid w:val="004C5841"/>
    <w:rsid w:val="00516652"/>
    <w:rsid w:val="00532B40"/>
    <w:rsid w:val="005506E4"/>
    <w:rsid w:val="00562F63"/>
    <w:rsid w:val="005A3174"/>
    <w:rsid w:val="005B6D05"/>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0775B"/>
    <w:rsid w:val="00977653"/>
    <w:rsid w:val="009B5DC6"/>
    <w:rsid w:val="009F60EE"/>
    <w:rsid w:val="00AA55BB"/>
    <w:rsid w:val="00AE05A4"/>
    <w:rsid w:val="00AE641B"/>
    <w:rsid w:val="00B02A5F"/>
    <w:rsid w:val="00B26DF0"/>
    <w:rsid w:val="00B425E8"/>
    <w:rsid w:val="00B462F7"/>
    <w:rsid w:val="00B92110"/>
    <w:rsid w:val="00BD0D51"/>
    <w:rsid w:val="00C33017"/>
    <w:rsid w:val="00C555DF"/>
    <w:rsid w:val="00C60B18"/>
    <w:rsid w:val="00C90BBF"/>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A7DAB"/>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C29F0B-73C1-4A0E-96F0-9F04F3A2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7300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3</cp:revision>
  <cp:lastPrinted>2019-03-06T12:15:00Z</cp:lastPrinted>
  <dcterms:created xsi:type="dcterms:W3CDTF">2023-11-06T11:21:00Z</dcterms:created>
  <dcterms:modified xsi:type="dcterms:W3CDTF">2023-11-06T11:33:00Z</dcterms:modified>
</cp:coreProperties>
</file>