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AEA" w:rsidRDefault="0043005D" w:rsidP="00673C05">
      <w:pPr>
        <w:rPr>
          <w:rFonts w:ascii="Tahoma" w:hAnsi="Tahoma" w:cs="Tahoma"/>
        </w:rPr>
      </w:pPr>
      <w:bookmarkStart w:id="0" w:name="_GoBack"/>
      <w:bookmarkEnd w:id="0"/>
      <w:r>
        <w:rPr>
          <w:rFonts w:ascii="Tahoma" w:hAnsi="Tahoma" w:cs="Tahoma"/>
        </w:rPr>
        <w:t>10</w:t>
      </w:r>
      <w:r w:rsidR="00830AEA">
        <w:rPr>
          <w:rFonts w:ascii="Tahoma" w:hAnsi="Tahoma" w:cs="Tahoma"/>
        </w:rPr>
        <w:t xml:space="preserve"> – ODGOVOR</w:t>
      </w:r>
      <w:r w:rsidR="00F20682">
        <w:rPr>
          <w:rFonts w:ascii="Tahoma" w:hAnsi="Tahoma" w:cs="Tahoma"/>
        </w:rPr>
        <w:tab/>
      </w:r>
      <w:r w:rsidR="00F20682">
        <w:rPr>
          <w:rFonts w:ascii="Tahoma" w:hAnsi="Tahoma" w:cs="Tahoma"/>
        </w:rPr>
        <w:tab/>
      </w:r>
      <w:r w:rsidR="00F20682">
        <w:rPr>
          <w:rFonts w:ascii="Tahoma" w:hAnsi="Tahoma" w:cs="Tahoma"/>
        </w:rPr>
        <w:tab/>
      </w:r>
      <w:r w:rsidR="00F20682">
        <w:rPr>
          <w:rFonts w:ascii="Tahoma" w:hAnsi="Tahoma" w:cs="Tahoma"/>
        </w:rPr>
        <w:tab/>
      </w:r>
      <w:r w:rsidR="00F20682">
        <w:rPr>
          <w:rFonts w:ascii="Tahoma" w:hAnsi="Tahoma" w:cs="Tahoma"/>
        </w:rPr>
        <w:tab/>
      </w:r>
      <w:r w:rsidR="00F20682">
        <w:rPr>
          <w:rFonts w:ascii="Tahoma" w:hAnsi="Tahoma" w:cs="Tahoma"/>
        </w:rPr>
        <w:tab/>
        <w:t>Ljubljana, dne 15. 10. 2010</w:t>
      </w:r>
    </w:p>
    <w:p w:rsidR="00830AEA" w:rsidRDefault="00830AEA" w:rsidP="00673C05">
      <w:pPr>
        <w:rPr>
          <w:rFonts w:ascii="Tahoma" w:hAnsi="Tahoma" w:cs="Tahoma"/>
        </w:rPr>
      </w:pPr>
      <w:r>
        <w:rPr>
          <w:rFonts w:ascii="Tahoma" w:hAnsi="Tahoma" w:cs="Tahoma"/>
        </w:rPr>
        <w:t>Po javnem naročilu JPE-SIR-312/19 smo prejeli naslednja vprašanja, na katera vam v nadaljevanju posredujemo odgovore:</w:t>
      </w:r>
    </w:p>
    <w:p w:rsidR="0043005D" w:rsidRDefault="003E4F01" w:rsidP="0043005D">
      <w:pPr>
        <w:rPr>
          <w:rFonts w:ascii="Tahoma" w:hAnsi="Tahoma" w:cs="Tahoma"/>
        </w:rPr>
      </w:pPr>
      <w:r>
        <w:rPr>
          <w:rFonts w:ascii="Tahoma" w:hAnsi="Tahoma" w:cs="Tahoma"/>
        </w:rPr>
        <w:t>Vprašanje, prejeto po elektronski pošti 13. 10. 2020</w:t>
      </w:r>
    </w:p>
    <w:p w:rsidR="0043005D" w:rsidRPr="0043005D" w:rsidRDefault="0043005D" w:rsidP="0043005D">
      <w:pPr>
        <w:rPr>
          <w:rFonts w:ascii="Tahoma" w:hAnsi="Tahoma" w:cs="Tahoma"/>
        </w:rPr>
      </w:pPr>
      <w:r w:rsidRPr="0043005D">
        <w:rPr>
          <w:rFonts w:ascii="Tahoma" w:hAnsi="Tahoma" w:cs="Tahoma"/>
        </w:rPr>
        <w:t>Vezano na Okvirni sporazum za preventivno vzdrževanje, generalni servis in intervencijsko vzdrževanje SPTE TOŠ in glede na specifične zahteve naročnika glede opreme (pretežno tuja in izven EU) ter dolgoročno - 10 letno izvajanje storitev in dobav, smatramo da ni realno in korektno, da se vrednosti preventivnega vzdrževanja, generalnih servisov in rezervnih delov, indeksira z indeksom rasti cen industrijskih proizvodov, ki jih objavlja EUROSTAT, če so le ti izven EU. Menimo,  da je potrebno indeks rasti cen vezati na državo dobavitelja oziroma proizvajalca postrojenja/paketa in v formulo za indeksiranje vključiti valutna razmerja med valuto države dobavitelja oz. proizvajalca postrojenja/paketa in EUR. Na ta razmerja nobena od pogodbenih strank nima in ne more imeti vpliva, zato jih je potrebno vključiti na način, kot smo navedli zgoraj, v nasprotnem primeru bo imelo to izredno negativen vpliv na ceno, kar pomeni večjo ceno za naročnika.</w:t>
      </w:r>
    </w:p>
    <w:p w:rsidR="0043005D" w:rsidRPr="0043005D" w:rsidRDefault="0043005D" w:rsidP="0043005D">
      <w:pPr>
        <w:rPr>
          <w:rFonts w:ascii="Tahoma" w:hAnsi="Tahoma" w:cs="Tahoma"/>
        </w:rPr>
      </w:pPr>
      <w:r w:rsidRPr="0043005D">
        <w:rPr>
          <w:rFonts w:ascii="Tahoma" w:hAnsi="Tahoma" w:cs="Tahoma"/>
        </w:rPr>
        <w:t xml:space="preserve">Prav tako naročnika naprošamo naj preuči in dovoli mesečno obračunavanje stroškov po Okvirnem sporazumu za preventivno vzdrževanje, generalni servis in intervencijsko vzdrževanje SPTE TOŠ, saj to pomeni porazdelitev finančnega bremena naročnika in s tem ugodno vpliva na njegov v </w:t>
      </w:r>
      <w:proofErr w:type="spellStart"/>
      <w:r w:rsidRPr="0043005D">
        <w:rPr>
          <w:rFonts w:ascii="Tahoma" w:hAnsi="Tahoma" w:cs="Tahoma"/>
        </w:rPr>
        <w:t>cash-flow</w:t>
      </w:r>
      <w:proofErr w:type="spellEnd"/>
      <w:r w:rsidRPr="0043005D">
        <w:rPr>
          <w:rFonts w:ascii="Tahoma" w:hAnsi="Tahoma" w:cs="Tahoma"/>
        </w:rPr>
        <w:t xml:space="preserve">. </w:t>
      </w:r>
    </w:p>
    <w:p w:rsidR="0043005D" w:rsidRDefault="0043005D" w:rsidP="0043005D">
      <w:pPr>
        <w:rPr>
          <w:rFonts w:ascii="Tahoma" w:hAnsi="Tahoma" w:cs="Tahoma"/>
        </w:rPr>
      </w:pPr>
      <w:r w:rsidRPr="0043005D">
        <w:rPr>
          <w:rFonts w:ascii="Tahoma" w:hAnsi="Tahoma" w:cs="Tahoma"/>
        </w:rPr>
        <w:t>Naročnika pozivamo, da ustrezno spremeni tekst vzorca okvirnega sporazuma oziroma dovoli zgoraj navedene spremembe.</w:t>
      </w:r>
    </w:p>
    <w:p w:rsidR="00577F89" w:rsidRDefault="00577F89" w:rsidP="0043005D">
      <w:pPr>
        <w:rPr>
          <w:rFonts w:ascii="Tahoma" w:hAnsi="Tahoma" w:cs="Tahoma"/>
          <w:color w:val="FF0000"/>
        </w:rPr>
      </w:pPr>
      <w:r>
        <w:rPr>
          <w:rFonts w:ascii="Tahoma" w:hAnsi="Tahoma" w:cs="Tahoma"/>
          <w:color w:val="FF0000"/>
        </w:rPr>
        <w:t>ODGOVOR:</w:t>
      </w:r>
    </w:p>
    <w:p w:rsidR="00577F89" w:rsidRPr="00577F89" w:rsidRDefault="00577F89" w:rsidP="00577F89">
      <w:pPr>
        <w:rPr>
          <w:rFonts w:ascii="Tahoma" w:hAnsi="Tahoma" w:cs="Tahoma"/>
          <w:color w:val="FF0000"/>
        </w:rPr>
      </w:pPr>
      <w:r w:rsidRPr="00577F89">
        <w:rPr>
          <w:rFonts w:ascii="Tahoma" w:hAnsi="Tahoma" w:cs="Tahoma"/>
          <w:color w:val="FF0000"/>
        </w:rPr>
        <w:t>Naročnik posluje v evropski uniji, zato bo upošteval indeks EUROSTAT ob upoštevanju valutnih razmerij med državo dobavitelja in EUR, kot to določa 5. člen Pravilnika o načinih valorizacije denarnih obveznosti, ki jih v večletnih pogodbah dogovarjajo pravne osebe javnega sektorja</w:t>
      </w:r>
      <w:r>
        <w:rPr>
          <w:rFonts w:ascii="Tahoma" w:hAnsi="Tahoma" w:cs="Tahoma"/>
          <w:color w:val="FF0000"/>
        </w:rPr>
        <w:t>.</w:t>
      </w:r>
    </w:p>
    <w:p w:rsidR="00577F89" w:rsidRPr="00577F89" w:rsidRDefault="00403654" w:rsidP="0043005D">
      <w:pPr>
        <w:rPr>
          <w:rFonts w:ascii="Tahoma" w:hAnsi="Tahoma" w:cs="Tahoma"/>
          <w:color w:val="FF0000"/>
        </w:rPr>
      </w:pPr>
      <w:r>
        <w:rPr>
          <w:rFonts w:ascii="Tahoma" w:hAnsi="Tahoma" w:cs="Tahoma"/>
          <w:color w:val="FF0000"/>
        </w:rPr>
        <w:t>Način plačevanja preventivnega in rednega vzdrževanja bo element pogajanj v 2. fazi javnega naročila.</w:t>
      </w:r>
    </w:p>
    <w:p w:rsidR="0043005D" w:rsidRDefault="0043005D" w:rsidP="00673C05">
      <w:pPr>
        <w:rPr>
          <w:rFonts w:ascii="Tahoma" w:hAnsi="Tahoma" w:cs="Tahoma"/>
        </w:rPr>
      </w:pPr>
    </w:p>
    <w:sectPr w:rsidR="0043005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208" w:rsidRDefault="008A1208" w:rsidP="008A1208">
      <w:pPr>
        <w:spacing w:after="0" w:line="240" w:lineRule="auto"/>
      </w:pPr>
      <w:r>
        <w:separator/>
      </w:r>
    </w:p>
  </w:endnote>
  <w:endnote w:type="continuationSeparator" w:id="0">
    <w:p w:rsidR="008A1208" w:rsidRDefault="008A1208" w:rsidP="008A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ahoma" w:hAnsi="Tahoma" w:cs="Tahoma"/>
        <w:sz w:val="16"/>
        <w:szCs w:val="16"/>
      </w:rPr>
      <w:id w:val="-433047836"/>
      <w:docPartObj>
        <w:docPartGallery w:val="Page Numbers (Bottom of Page)"/>
        <w:docPartUnique/>
      </w:docPartObj>
    </w:sdtPr>
    <w:sdtEndPr/>
    <w:sdtContent>
      <w:sdt>
        <w:sdtPr>
          <w:rPr>
            <w:rFonts w:ascii="Tahoma" w:hAnsi="Tahoma" w:cs="Tahoma"/>
            <w:sz w:val="16"/>
            <w:szCs w:val="16"/>
          </w:rPr>
          <w:id w:val="-1705238520"/>
          <w:docPartObj>
            <w:docPartGallery w:val="Page Numbers (Top of Page)"/>
            <w:docPartUnique/>
          </w:docPartObj>
        </w:sdtPr>
        <w:sdtEndPr/>
        <w:sdtContent>
          <w:p w:rsidR="008A1208" w:rsidRPr="008A1208" w:rsidRDefault="008A1208" w:rsidP="008A1208">
            <w:pPr>
              <w:pStyle w:val="Noga"/>
              <w:jc w:val="center"/>
              <w:rPr>
                <w:rFonts w:ascii="Tahoma" w:hAnsi="Tahoma" w:cs="Tahoma"/>
                <w:sz w:val="16"/>
                <w:szCs w:val="16"/>
              </w:rPr>
            </w:pPr>
            <w:r w:rsidRPr="008A1208">
              <w:rPr>
                <w:rFonts w:ascii="Tahoma" w:hAnsi="Tahoma" w:cs="Tahoma"/>
                <w:sz w:val="16"/>
                <w:szCs w:val="16"/>
              </w:rPr>
              <w:t xml:space="preserve">Stran </w:t>
            </w:r>
            <w:r w:rsidRPr="008A1208">
              <w:rPr>
                <w:rFonts w:ascii="Tahoma" w:hAnsi="Tahoma" w:cs="Tahoma"/>
                <w:bCs/>
                <w:sz w:val="16"/>
                <w:szCs w:val="16"/>
              </w:rPr>
              <w:fldChar w:fldCharType="begin"/>
            </w:r>
            <w:r w:rsidRPr="008A1208">
              <w:rPr>
                <w:rFonts w:ascii="Tahoma" w:hAnsi="Tahoma" w:cs="Tahoma"/>
                <w:bCs/>
                <w:sz w:val="16"/>
                <w:szCs w:val="16"/>
              </w:rPr>
              <w:instrText>PAGE</w:instrText>
            </w:r>
            <w:r w:rsidRPr="008A1208">
              <w:rPr>
                <w:rFonts w:ascii="Tahoma" w:hAnsi="Tahoma" w:cs="Tahoma"/>
                <w:bCs/>
                <w:sz w:val="16"/>
                <w:szCs w:val="16"/>
              </w:rPr>
              <w:fldChar w:fldCharType="separate"/>
            </w:r>
            <w:r w:rsidR="00875544">
              <w:rPr>
                <w:rFonts w:ascii="Tahoma" w:hAnsi="Tahoma" w:cs="Tahoma"/>
                <w:bCs/>
                <w:noProof/>
                <w:sz w:val="16"/>
                <w:szCs w:val="16"/>
              </w:rPr>
              <w:t>1</w:t>
            </w:r>
            <w:r w:rsidRPr="008A1208">
              <w:rPr>
                <w:rFonts w:ascii="Tahoma" w:hAnsi="Tahoma" w:cs="Tahoma"/>
                <w:bCs/>
                <w:sz w:val="16"/>
                <w:szCs w:val="16"/>
              </w:rPr>
              <w:fldChar w:fldCharType="end"/>
            </w:r>
            <w:r w:rsidRPr="008A1208">
              <w:rPr>
                <w:rFonts w:ascii="Tahoma" w:hAnsi="Tahoma" w:cs="Tahoma"/>
                <w:sz w:val="16"/>
                <w:szCs w:val="16"/>
              </w:rPr>
              <w:t xml:space="preserve"> od </w:t>
            </w:r>
            <w:r w:rsidRPr="008A1208">
              <w:rPr>
                <w:rFonts w:ascii="Tahoma" w:hAnsi="Tahoma" w:cs="Tahoma"/>
                <w:bCs/>
                <w:sz w:val="16"/>
                <w:szCs w:val="16"/>
              </w:rPr>
              <w:fldChar w:fldCharType="begin"/>
            </w:r>
            <w:r w:rsidRPr="008A1208">
              <w:rPr>
                <w:rFonts w:ascii="Tahoma" w:hAnsi="Tahoma" w:cs="Tahoma"/>
                <w:bCs/>
                <w:sz w:val="16"/>
                <w:szCs w:val="16"/>
              </w:rPr>
              <w:instrText>NUMPAGES</w:instrText>
            </w:r>
            <w:r w:rsidRPr="008A1208">
              <w:rPr>
                <w:rFonts w:ascii="Tahoma" w:hAnsi="Tahoma" w:cs="Tahoma"/>
                <w:bCs/>
                <w:sz w:val="16"/>
                <w:szCs w:val="16"/>
              </w:rPr>
              <w:fldChar w:fldCharType="separate"/>
            </w:r>
            <w:r w:rsidR="00875544">
              <w:rPr>
                <w:rFonts w:ascii="Tahoma" w:hAnsi="Tahoma" w:cs="Tahoma"/>
                <w:bCs/>
                <w:noProof/>
                <w:sz w:val="16"/>
                <w:szCs w:val="16"/>
              </w:rPr>
              <w:t>1</w:t>
            </w:r>
            <w:r w:rsidRPr="008A1208">
              <w:rPr>
                <w:rFonts w:ascii="Tahoma" w:hAnsi="Tahoma" w:cs="Tahoma"/>
                <w:bCs/>
                <w:sz w:val="16"/>
                <w:szCs w:val="16"/>
              </w:rPr>
              <w:fldChar w:fldCharType="end"/>
            </w:r>
          </w:p>
        </w:sdtContent>
      </w:sdt>
    </w:sdtContent>
  </w:sdt>
  <w:p w:rsidR="008A1208" w:rsidRDefault="008A1208">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208" w:rsidRDefault="008A1208" w:rsidP="008A1208">
      <w:pPr>
        <w:spacing w:after="0" w:line="240" w:lineRule="auto"/>
      </w:pPr>
      <w:r>
        <w:separator/>
      </w:r>
    </w:p>
  </w:footnote>
  <w:footnote w:type="continuationSeparator" w:id="0">
    <w:p w:rsidR="008A1208" w:rsidRDefault="008A1208" w:rsidP="008A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208" w:rsidRDefault="008A12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5415C"/>
    <w:multiLevelType w:val="hybridMultilevel"/>
    <w:tmpl w:val="F32A54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B3F62D4"/>
    <w:multiLevelType w:val="hybridMultilevel"/>
    <w:tmpl w:val="610EACC4"/>
    <w:lvl w:ilvl="0" w:tplc="888AB8F0">
      <w:start w:val="1"/>
      <w:numFmt w:val="bullet"/>
      <w:lvlText w:val="-"/>
      <w:lvlJc w:val="left"/>
      <w:pPr>
        <w:ind w:left="405" w:hanging="360"/>
      </w:pPr>
      <w:rPr>
        <w:rFonts w:ascii="Calibri" w:eastAsia="Calibri" w:hAnsi="Calibri"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05"/>
    <w:rsid w:val="000340E4"/>
    <w:rsid w:val="00183354"/>
    <w:rsid w:val="00187CEB"/>
    <w:rsid w:val="002B13F3"/>
    <w:rsid w:val="003E4F01"/>
    <w:rsid w:val="00403654"/>
    <w:rsid w:val="0043005D"/>
    <w:rsid w:val="0044134B"/>
    <w:rsid w:val="00577F89"/>
    <w:rsid w:val="00673C05"/>
    <w:rsid w:val="00700E92"/>
    <w:rsid w:val="007B1B05"/>
    <w:rsid w:val="007F58E3"/>
    <w:rsid w:val="0081184D"/>
    <w:rsid w:val="00830AEA"/>
    <w:rsid w:val="008343F2"/>
    <w:rsid w:val="00875544"/>
    <w:rsid w:val="008A1208"/>
    <w:rsid w:val="009C6A7B"/>
    <w:rsid w:val="00D148CD"/>
    <w:rsid w:val="00DD5191"/>
    <w:rsid w:val="00E12D53"/>
    <w:rsid w:val="00EA259D"/>
    <w:rsid w:val="00F20682"/>
    <w:rsid w:val="00F94B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4DF39-A32E-4AD8-8AD5-10DA367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673C05"/>
    <w:rPr>
      <w:color w:val="0563C1" w:themeColor="hyperlink"/>
      <w:u w:val="single"/>
    </w:rPr>
  </w:style>
  <w:style w:type="paragraph" w:styleId="Odstavekseznama">
    <w:name w:val="List Paragraph"/>
    <w:basedOn w:val="Navaden"/>
    <w:uiPriority w:val="34"/>
    <w:qFormat/>
    <w:rsid w:val="0044134B"/>
    <w:pPr>
      <w:ind w:left="720"/>
      <w:contextualSpacing/>
    </w:pPr>
  </w:style>
  <w:style w:type="paragraph" w:styleId="Glava">
    <w:name w:val="header"/>
    <w:basedOn w:val="Navaden"/>
    <w:link w:val="GlavaZnak"/>
    <w:uiPriority w:val="99"/>
    <w:unhideWhenUsed/>
    <w:rsid w:val="008A1208"/>
    <w:pPr>
      <w:tabs>
        <w:tab w:val="center" w:pos="4536"/>
        <w:tab w:val="right" w:pos="9072"/>
      </w:tabs>
      <w:spacing w:after="0" w:line="240" w:lineRule="auto"/>
    </w:pPr>
  </w:style>
  <w:style w:type="character" w:customStyle="1" w:styleId="GlavaZnak">
    <w:name w:val="Glava Znak"/>
    <w:basedOn w:val="Privzetapisavaodstavka"/>
    <w:link w:val="Glava"/>
    <w:uiPriority w:val="99"/>
    <w:rsid w:val="008A1208"/>
  </w:style>
  <w:style w:type="paragraph" w:styleId="Noga">
    <w:name w:val="footer"/>
    <w:basedOn w:val="Navaden"/>
    <w:link w:val="NogaZnak"/>
    <w:uiPriority w:val="99"/>
    <w:unhideWhenUsed/>
    <w:rsid w:val="008A1208"/>
    <w:pPr>
      <w:tabs>
        <w:tab w:val="center" w:pos="4536"/>
        <w:tab w:val="right" w:pos="9072"/>
      </w:tabs>
      <w:spacing w:after="0" w:line="240" w:lineRule="auto"/>
    </w:pPr>
  </w:style>
  <w:style w:type="character" w:customStyle="1" w:styleId="NogaZnak">
    <w:name w:val="Noga Znak"/>
    <w:basedOn w:val="Privzetapisavaodstavka"/>
    <w:link w:val="Noga"/>
    <w:uiPriority w:val="99"/>
    <w:rsid w:val="008A1208"/>
  </w:style>
  <w:style w:type="paragraph" w:styleId="Besedilooblaka">
    <w:name w:val="Balloon Text"/>
    <w:basedOn w:val="Navaden"/>
    <w:link w:val="BesedilooblakaZnak"/>
    <w:uiPriority w:val="99"/>
    <w:semiHidden/>
    <w:unhideWhenUsed/>
    <w:rsid w:val="0040365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80463">
      <w:bodyDiv w:val="1"/>
      <w:marLeft w:val="0"/>
      <w:marRight w:val="0"/>
      <w:marTop w:val="0"/>
      <w:marBottom w:val="0"/>
      <w:divBdr>
        <w:top w:val="none" w:sz="0" w:space="0" w:color="auto"/>
        <w:left w:val="none" w:sz="0" w:space="0" w:color="auto"/>
        <w:bottom w:val="none" w:sz="0" w:space="0" w:color="auto"/>
        <w:right w:val="none" w:sz="0" w:space="0" w:color="auto"/>
      </w:divBdr>
    </w:div>
    <w:div w:id="708804055">
      <w:bodyDiv w:val="1"/>
      <w:marLeft w:val="0"/>
      <w:marRight w:val="0"/>
      <w:marTop w:val="0"/>
      <w:marBottom w:val="0"/>
      <w:divBdr>
        <w:top w:val="none" w:sz="0" w:space="0" w:color="auto"/>
        <w:left w:val="none" w:sz="0" w:space="0" w:color="auto"/>
        <w:bottom w:val="none" w:sz="0" w:space="0" w:color="auto"/>
        <w:right w:val="none" w:sz="0" w:space="0" w:color="auto"/>
      </w:divBdr>
    </w:div>
    <w:div w:id="805316941">
      <w:bodyDiv w:val="1"/>
      <w:marLeft w:val="0"/>
      <w:marRight w:val="0"/>
      <w:marTop w:val="0"/>
      <w:marBottom w:val="0"/>
      <w:divBdr>
        <w:top w:val="none" w:sz="0" w:space="0" w:color="auto"/>
        <w:left w:val="none" w:sz="0" w:space="0" w:color="auto"/>
        <w:bottom w:val="none" w:sz="0" w:space="0" w:color="auto"/>
        <w:right w:val="none" w:sz="0" w:space="0" w:color="auto"/>
      </w:divBdr>
    </w:div>
    <w:div w:id="871307048">
      <w:bodyDiv w:val="1"/>
      <w:marLeft w:val="0"/>
      <w:marRight w:val="0"/>
      <w:marTop w:val="0"/>
      <w:marBottom w:val="0"/>
      <w:divBdr>
        <w:top w:val="none" w:sz="0" w:space="0" w:color="auto"/>
        <w:left w:val="none" w:sz="0" w:space="0" w:color="auto"/>
        <w:bottom w:val="none" w:sz="0" w:space="0" w:color="auto"/>
        <w:right w:val="none" w:sz="0" w:space="0" w:color="auto"/>
      </w:divBdr>
    </w:div>
    <w:div w:id="940721639">
      <w:bodyDiv w:val="1"/>
      <w:marLeft w:val="0"/>
      <w:marRight w:val="0"/>
      <w:marTop w:val="0"/>
      <w:marBottom w:val="0"/>
      <w:divBdr>
        <w:top w:val="none" w:sz="0" w:space="0" w:color="auto"/>
        <w:left w:val="none" w:sz="0" w:space="0" w:color="auto"/>
        <w:bottom w:val="none" w:sz="0" w:space="0" w:color="auto"/>
        <w:right w:val="none" w:sz="0" w:space="0" w:color="auto"/>
      </w:divBdr>
    </w:div>
    <w:div w:id="1031564236">
      <w:bodyDiv w:val="1"/>
      <w:marLeft w:val="0"/>
      <w:marRight w:val="0"/>
      <w:marTop w:val="0"/>
      <w:marBottom w:val="0"/>
      <w:divBdr>
        <w:top w:val="none" w:sz="0" w:space="0" w:color="auto"/>
        <w:left w:val="none" w:sz="0" w:space="0" w:color="auto"/>
        <w:bottom w:val="none" w:sz="0" w:space="0" w:color="auto"/>
        <w:right w:val="none" w:sz="0" w:space="0" w:color="auto"/>
      </w:divBdr>
    </w:div>
    <w:div w:id="1243876138">
      <w:bodyDiv w:val="1"/>
      <w:marLeft w:val="0"/>
      <w:marRight w:val="0"/>
      <w:marTop w:val="0"/>
      <w:marBottom w:val="0"/>
      <w:divBdr>
        <w:top w:val="none" w:sz="0" w:space="0" w:color="auto"/>
        <w:left w:val="none" w:sz="0" w:space="0" w:color="auto"/>
        <w:bottom w:val="none" w:sz="0" w:space="0" w:color="auto"/>
        <w:right w:val="none" w:sz="0" w:space="0" w:color="auto"/>
      </w:divBdr>
      <w:divsChild>
        <w:div w:id="1778057385">
          <w:marLeft w:val="0"/>
          <w:marRight w:val="0"/>
          <w:marTop w:val="0"/>
          <w:marBottom w:val="0"/>
          <w:divBdr>
            <w:top w:val="none" w:sz="0" w:space="0" w:color="auto"/>
            <w:left w:val="none" w:sz="0" w:space="0" w:color="auto"/>
            <w:bottom w:val="none" w:sz="0" w:space="0" w:color="auto"/>
            <w:right w:val="none" w:sz="0" w:space="0" w:color="auto"/>
          </w:divBdr>
          <w:divsChild>
            <w:div w:id="1812477211">
              <w:marLeft w:val="-225"/>
              <w:marRight w:val="-225"/>
              <w:marTop w:val="0"/>
              <w:marBottom w:val="0"/>
              <w:divBdr>
                <w:top w:val="none" w:sz="0" w:space="0" w:color="auto"/>
                <w:left w:val="none" w:sz="0" w:space="0" w:color="auto"/>
                <w:bottom w:val="none" w:sz="0" w:space="0" w:color="auto"/>
                <w:right w:val="none" w:sz="0" w:space="0" w:color="auto"/>
              </w:divBdr>
              <w:divsChild>
                <w:div w:id="738018048">
                  <w:marLeft w:val="0"/>
                  <w:marRight w:val="0"/>
                  <w:marTop w:val="0"/>
                  <w:marBottom w:val="0"/>
                  <w:divBdr>
                    <w:top w:val="none" w:sz="0" w:space="0" w:color="auto"/>
                    <w:left w:val="none" w:sz="0" w:space="0" w:color="auto"/>
                    <w:bottom w:val="none" w:sz="0" w:space="0" w:color="auto"/>
                    <w:right w:val="none" w:sz="0" w:space="0" w:color="auto"/>
                  </w:divBdr>
                  <w:divsChild>
                    <w:div w:id="1044208144">
                      <w:marLeft w:val="0"/>
                      <w:marRight w:val="0"/>
                      <w:marTop w:val="0"/>
                      <w:marBottom w:val="255"/>
                      <w:divBdr>
                        <w:top w:val="none" w:sz="0" w:space="0" w:color="auto"/>
                        <w:left w:val="none" w:sz="0" w:space="0" w:color="auto"/>
                        <w:bottom w:val="none" w:sz="0" w:space="0" w:color="auto"/>
                        <w:right w:val="none" w:sz="0" w:space="0" w:color="auto"/>
                      </w:divBdr>
                      <w:divsChild>
                        <w:div w:id="936406596">
                          <w:marLeft w:val="0"/>
                          <w:marRight w:val="0"/>
                          <w:marTop w:val="0"/>
                          <w:marBottom w:val="0"/>
                          <w:divBdr>
                            <w:top w:val="none" w:sz="0" w:space="0" w:color="auto"/>
                            <w:left w:val="none" w:sz="0" w:space="0" w:color="auto"/>
                            <w:bottom w:val="none" w:sz="0" w:space="0" w:color="auto"/>
                            <w:right w:val="none" w:sz="0" w:space="0" w:color="auto"/>
                          </w:divBdr>
                          <w:divsChild>
                            <w:div w:id="1531262729">
                              <w:marLeft w:val="-195"/>
                              <w:marRight w:val="0"/>
                              <w:marTop w:val="0"/>
                              <w:marBottom w:val="0"/>
                              <w:divBdr>
                                <w:top w:val="none" w:sz="0" w:space="0" w:color="auto"/>
                                <w:left w:val="none" w:sz="0" w:space="0" w:color="auto"/>
                                <w:bottom w:val="none" w:sz="0" w:space="0" w:color="auto"/>
                                <w:right w:val="none" w:sz="0" w:space="0" w:color="auto"/>
                              </w:divBdr>
                              <w:divsChild>
                                <w:div w:id="2140302249">
                                  <w:marLeft w:val="0"/>
                                  <w:marRight w:val="0"/>
                                  <w:marTop w:val="150"/>
                                  <w:marBottom w:val="150"/>
                                  <w:divBdr>
                                    <w:top w:val="none" w:sz="0" w:space="0" w:color="auto"/>
                                    <w:left w:val="none" w:sz="0" w:space="0" w:color="auto"/>
                                    <w:bottom w:val="none" w:sz="0" w:space="0" w:color="auto"/>
                                    <w:right w:val="none" w:sz="0" w:space="0" w:color="auto"/>
                                  </w:divBdr>
                                </w:div>
                              </w:divsChild>
                            </w:div>
                            <w:div w:id="402483736">
                              <w:marLeft w:val="-195"/>
                              <w:marRight w:val="0"/>
                              <w:marTop w:val="0"/>
                              <w:marBottom w:val="0"/>
                              <w:divBdr>
                                <w:top w:val="none" w:sz="0" w:space="0" w:color="auto"/>
                                <w:left w:val="none" w:sz="0" w:space="0" w:color="auto"/>
                                <w:bottom w:val="none" w:sz="0" w:space="0" w:color="auto"/>
                                <w:right w:val="none" w:sz="0" w:space="0" w:color="auto"/>
                              </w:divBdr>
                              <w:divsChild>
                                <w:div w:id="2118518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Words>
  <Characters>1676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Nives Nardin</dc:creator>
  <cp:keywords/>
  <dc:description/>
  <cp:lastModifiedBy>Nives Nardin</cp:lastModifiedBy>
  <cp:revision>2</cp:revision>
  <cp:lastPrinted>2020-10-15T16:40:00Z</cp:lastPrinted>
  <dcterms:created xsi:type="dcterms:W3CDTF">2020-10-15T16:43:00Z</dcterms:created>
  <dcterms:modified xsi:type="dcterms:W3CDTF">2020-10-15T16:43:00Z</dcterms:modified>
</cp:coreProperties>
</file>