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AEA" w:rsidRDefault="00830AEA" w:rsidP="00673C05">
      <w:pPr>
        <w:rPr>
          <w:rFonts w:ascii="Tahoma" w:hAnsi="Tahoma" w:cs="Tahoma"/>
        </w:rPr>
      </w:pPr>
      <w:r>
        <w:rPr>
          <w:rFonts w:ascii="Tahoma" w:hAnsi="Tahoma" w:cs="Tahoma"/>
        </w:rPr>
        <w:t>9 – ODGOVOR</w:t>
      </w:r>
      <w:r w:rsidR="00F20682">
        <w:rPr>
          <w:rFonts w:ascii="Tahoma" w:hAnsi="Tahoma" w:cs="Tahoma"/>
        </w:rPr>
        <w:tab/>
      </w:r>
      <w:r w:rsidR="00F20682">
        <w:rPr>
          <w:rFonts w:ascii="Tahoma" w:hAnsi="Tahoma" w:cs="Tahoma"/>
        </w:rPr>
        <w:tab/>
      </w:r>
      <w:r w:rsidR="00F20682">
        <w:rPr>
          <w:rFonts w:ascii="Tahoma" w:hAnsi="Tahoma" w:cs="Tahoma"/>
        </w:rPr>
        <w:tab/>
      </w:r>
      <w:r w:rsidR="00F20682">
        <w:rPr>
          <w:rFonts w:ascii="Tahoma" w:hAnsi="Tahoma" w:cs="Tahoma"/>
        </w:rPr>
        <w:tab/>
      </w:r>
      <w:r w:rsidR="00F20682">
        <w:rPr>
          <w:rFonts w:ascii="Tahoma" w:hAnsi="Tahoma" w:cs="Tahoma"/>
        </w:rPr>
        <w:tab/>
      </w:r>
      <w:r w:rsidR="00F20682">
        <w:rPr>
          <w:rFonts w:ascii="Tahoma" w:hAnsi="Tahoma" w:cs="Tahoma"/>
        </w:rPr>
        <w:tab/>
      </w:r>
      <w:r w:rsidR="00F20682">
        <w:rPr>
          <w:rFonts w:ascii="Tahoma" w:hAnsi="Tahoma" w:cs="Tahoma"/>
        </w:rPr>
        <w:tab/>
        <w:t>Ljubljana, dne 15. 10. 2010</w:t>
      </w:r>
    </w:p>
    <w:p w:rsidR="00830AEA" w:rsidRDefault="00830AEA" w:rsidP="00673C05">
      <w:pPr>
        <w:rPr>
          <w:rFonts w:ascii="Tahoma" w:hAnsi="Tahoma" w:cs="Tahoma"/>
        </w:rPr>
      </w:pPr>
      <w:r>
        <w:rPr>
          <w:rFonts w:ascii="Tahoma" w:hAnsi="Tahoma" w:cs="Tahoma"/>
        </w:rPr>
        <w:t>Po javnem naročilu JPE-SIR-312/19 smo prejeli naslednja vprašanja, na katera vam v nadaljevanju posredujemo odgovore:</w:t>
      </w:r>
    </w:p>
    <w:p w:rsidR="0081184D" w:rsidRPr="00F20682" w:rsidRDefault="0081184D" w:rsidP="00673C05">
      <w:pPr>
        <w:rPr>
          <w:rFonts w:ascii="Tahoma" w:hAnsi="Tahoma" w:cs="Tahoma"/>
          <w:b/>
          <w:i/>
          <w:u w:val="single"/>
        </w:rPr>
      </w:pPr>
      <w:r w:rsidRPr="00F20682">
        <w:rPr>
          <w:rFonts w:ascii="Tahoma" w:hAnsi="Tahoma" w:cs="Tahoma"/>
          <w:b/>
          <w:i/>
          <w:u w:val="single"/>
        </w:rPr>
        <w:t>Datum prejema: 14. 10. 2020, 11.21</w:t>
      </w:r>
    </w:p>
    <w:p w:rsidR="00DD5191" w:rsidRDefault="00673C05" w:rsidP="00673C05">
      <w:pPr>
        <w:rPr>
          <w:rFonts w:ascii="Tahoma" w:hAnsi="Tahoma" w:cs="Tahoma"/>
        </w:rPr>
      </w:pPr>
      <w:r w:rsidRPr="00673C05">
        <w:rPr>
          <w:rFonts w:ascii="Tahoma" w:hAnsi="Tahoma" w:cs="Tahoma"/>
        </w:rPr>
        <w:t>1. V dokumentaciji v zvezi z oddajo javnega naročila, tč. 3.2.5 Dokazila o usposobljenosti in specifikacija preventivnega vzdrževanja in generalnega servisa (</w:t>
      </w:r>
      <w:proofErr w:type="spellStart"/>
      <w:r w:rsidRPr="00673C05">
        <w:rPr>
          <w:rFonts w:ascii="Tahoma" w:hAnsi="Tahoma" w:cs="Tahoma"/>
        </w:rPr>
        <w:t>overhaul</w:t>
      </w:r>
      <w:proofErr w:type="spellEnd"/>
      <w:r w:rsidRPr="00673C05">
        <w:rPr>
          <w:rFonts w:ascii="Tahoma" w:hAnsi="Tahoma" w:cs="Tahoma"/>
        </w:rPr>
        <w:t>), je zahtevano:</w:t>
      </w:r>
      <w:r w:rsidRPr="00673C05">
        <w:rPr>
          <w:rFonts w:ascii="Tahoma" w:hAnsi="Tahoma" w:cs="Tahoma"/>
        </w:rPr>
        <w:br/>
        <w:t>Kandidat mora v prijavi predložiti podrobno specifikacijo:</w:t>
      </w:r>
      <w:r w:rsidRPr="00673C05">
        <w:rPr>
          <w:rFonts w:ascii="Tahoma" w:hAnsi="Tahoma" w:cs="Tahoma"/>
        </w:rPr>
        <w:br/>
        <w:t>1. Preventivnega vzdrževanja (redni servis) po urah obratovanja in vseh stroških (porabljen potrošni material, stroški dela vključno s posrednimi stroški (potni stroški, nočitve, prehrana, ..) za vsak servis v obsegu preventivnega vzdrževanja sklopa turbine, generatorja, reduktorja in kompresorja. Stroški vzdrževanja morajo biti izračunani s projekcijo povečevanja cen materiala, dela in posrednih stroškov za naslednje deset (10) letno obdobje. Za dveletno obdobje po končnem prevzemu pogodbenih del in pričetku rednega obratovanja SPTE TOŠ mora ponudnik zagotoviti fiksnost cen. Po preteku dveh let se stroški preventivnega vzdrževanja indeksirajo, ob upoštevanju faktorja 0,8, z dejanskim indeksom rasti cen industrijskih proizvodov pri proizvajalcih, ki jih objavlja statistični urad RS.</w:t>
      </w:r>
      <w:r w:rsidRPr="00673C05">
        <w:rPr>
          <w:rFonts w:ascii="Tahoma" w:hAnsi="Tahoma" w:cs="Tahoma"/>
        </w:rPr>
        <w:br/>
        <w:t>2. Generalnega servisa (</w:t>
      </w:r>
      <w:proofErr w:type="spellStart"/>
      <w:r w:rsidRPr="00673C05">
        <w:rPr>
          <w:rFonts w:ascii="Tahoma" w:hAnsi="Tahoma" w:cs="Tahoma"/>
        </w:rPr>
        <w:t>overhaul</w:t>
      </w:r>
      <w:proofErr w:type="spellEnd"/>
      <w:r w:rsidRPr="00673C05">
        <w:rPr>
          <w:rFonts w:ascii="Tahoma" w:hAnsi="Tahoma" w:cs="Tahoma"/>
        </w:rPr>
        <w:t>) po urah obratovanja in vseh stroških (porabljen material, stroški dela vključno s posrednimi stroški (potni stroški, nočitve, prehrana, ..) za vsak generalni servis v obsegu rednega vzdrževanja sklopa turbine, generatorja, reduktorja in kompresorja.</w:t>
      </w:r>
      <w:r w:rsidRPr="00673C05">
        <w:rPr>
          <w:rFonts w:ascii="Tahoma" w:hAnsi="Tahoma" w:cs="Tahoma"/>
        </w:rPr>
        <w:br/>
        <w:t xml:space="preserve">Kandidat mora svoji prijavi priložiti specifikacijo materiala, del in stroškov vzdrževanja, ki nastanejo pri rednem obratovanju, ki vključuje </w:t>
      </w:r>
      <w:proofErr w:type="spellStart"/>
      <w:r w:rsidRPr="00673C05">
        <w:rPr>
          <w:rFonts w:ascii="Tahoma" w:hAnsi="Tahoma" w:cs="Tahoma"/>
        </w:rPr>
        <w:t>normno</w:t>
      </w:r>
      <w:proofErr w:type="spellEnd"/>
      <w:r w:rsidRPr="00673C05">
        <w:rPr>
          <w:rFonts w:ascii="Tahoma" w:hAnsi="Tahoma" w:cs="Tahoma"/>
        </w:rPr>
        <w:t xml:space="preserve"> število porabljenih ur in materiala ter rezervnih delov za: </w:t>
      </w:r>
      <w:r w:rsidRPr="00673C05">
        <w:rPr>
          <w:rFonts w:ascii="Tahoma" w:hAnsi="Tahoma" w:cs="Tahoma"/>
        </w:rPr>
        <w:br/>
        <w:t>1. Preventivno vzdrževanje postrojenja,</w:t>
      </w:r>
      <w:r w:rsidRPr="00673C05">
        <w:rPr>
          <w:rFonts w:ascii="Tahoma" w:hAnsi="Tahoma" w:cs="Tahoma"/>
        </w:rPr>
        <w:br/>
        <w:t xml:space="preserve">2. Generalni servis postrojenja; </w:t>
      </w:r>
      <w:r w:rsidRPr="00673C05">
        <w:rPr>
          <w:rFonts w:ascii="Tahoma" w:hAnsi="Tahoma" w:cs="Tahoma"/>
        </w:rPr>
        <w:br/>
        <w:t>Z navedbo :</w:t>
      </w:r>
      <w:r w:rsidRPr="00673C05">
        <w:rPr>
          <w:rFonts w:ascii="Tahoma" w:hAnsi="Tahoma" w:cs="Tahoma"/>
        </w:rPr>
        <w:br/>
        <w:t>Število ur obratovanja ki zahteva izvedbo preventivnega vzdrževanja postrojenja:</w:t>
      </w:r>
      <w:r w:rsidRPr="00673C05">
        <w:rPr>
          <w:rFonts w:ascii="Tahoma" w:hAnsi="Tahoma" w:cs="Tahoma"/>
        </w:rPr>
        <w:br/>
        <w:t>Čas zaustavitve postrojenja za izvedbo preventivnega vzdrževanja:</w:t>
      </w:r>
      <w:r w:rsidRPr="00673C05">
        <w:rPr>
          <w:rFonts w:ascii="Tahoma" w:hAnsi="Tahoma" w:cs="Tahoma"/>
        </w:rPr>
        <w:br/>
        <w:t>Število ur obratovanja, ki zahteva redni generalni servis postrojenja:</w:t>
      </w:r>
      <w:r w:rsidRPr="00673C05">
        <w:rPr>
          <w:rFonts w:ascii="Tahoma" w:hAnsi="Tahoma" w:cs="Tahoma"/>
        </w:rPr>
        <w:br/>
        <w:t>Čas zaustavitve postrojenja za izvedbo generalnega servisa postrojenja:</w:t>
      </w:r>
      <w:r w:rsidRPr="00673C05">
        <w:rPr>
          <w:rFonts w:ascii="Tahoma" w:hAnsi="Tahoma" w:cs="Tahoma"/>
        </w:rPr>
        <w:br/>
        <w:t>za kar pripravi preglednico Plan vzdrževanja na ure obratovanja.</w:t>
      </w:r>
      <w:r w:rsidRPr="00673C05">
        <w:rPr>
          <w:rFonts w:ascii="Tahoma" w:hAnsi="Tahoma" w:cs="Tahoma"/>
        </w:rPr>
        <w:br/>
      </w:r>
      <w:r w:rsidRPr="00673C05">
        <w:rPr>
          <w:rFonts w:ascii="Tahoma" w:hAnsi="Tahoma" w:cs="Tahoma"/>
        </w:rPr>
        <w:br/>
        <w:t>Naročniku predlagamo, da kandidati v prijavi (1. faza javnega naročila), priložijo podrobno specifikacijo preventivnega vzdrževanja (redni servis) in generalnega servisa (</w:t>
      </w:r>
      <w:proofErr w:type="spellStart"/>
      <w:r w:rsidRPr="00673C05">
        <w:rPr>
          <w:rFonts w:ascii="Tahoma" w:hAnsi="Tahoma" w:cs="Tahoma"/>
        </w:rPr>
        <w:t>overhaul</w:t>
      </w:r>
      <w:proofErr w:type="spellEnd"/>
      <w:r w:rsidRPr="00673C05">
        <w:rPr>
          <w:rFonts w:ascii="Tahoma" w:hAnsi="Tahoma" w:cs="Tahoma"/>
        </w:rPr>
        <w:t>), brez navedbe cen/stroškov. Navedeno predlagamo iz dejstva, da je postopek za segment vzdrževanja enak kot za segment izvedbe, ter da naročnik v 1. fazi med kandidati preveri in pretehta tehnično ustreznost posameznih prijav in uskladi obseg vzdrževanj, ki ga bodo podali posamezni kandidati/proizvajalci, ter da na ta način omogoči vsem kandidatom, da bodo komercialno ponudbo za vzdrževanje pripravili iz enakega tehničnega izhodišča. Slednje nenazadnje tudi naročniku omogoča, da prejme komercialne ponudbe za vzdrževanje pripravljene na enakih ali vsaj podobnih izhodiščih, s čimer zmanjšuje tveganja v fazi vzdrževanja opreme in življenjski dobi opreme.</w:t>
      </w:r>
      <w:r w:rsidRPr="00673C05">
        <w:rPr>
          <w:rFonts w:ascii="Tahoma" w:hAnsi="Tahoma" w:cs="Tahoma"/>
        </w:rPr>
        <w:br/>
      </w:r>
    </w:p>
    <w:p w:rsidR="00DD5191" w:rsidRDefault="00DD5191" w:rsidP="00673C05">
      <w:pPr>
        <w:rPr>
          <w:rFonts w:ascii="Tahoma" w:hAnsi="Tahoma" w:cs="Tahoma"/>
          <w:color w:val="FF0000"/>
        </w:rPr>
      </w:pPr>
      <w:r>
        <w:rPr>
          <w:rFonts w:ascii="Tahoma" w:hAnsi="Tahoma" w:cs="Tahoma"/>
          <w:color w:val="FF0000"/>
        </w:rPr>
        <w:t>ODGOVOR:</w:t>
      </w:r>
    </w:p>
    <w:p w:rsidR="00183354" w:rsidRDefault="00DD5191" w:rsidP="00673C05">
      <w:pPr>
        <w:rPr>
          <w:rFonts w:ascii="Tahoma" w:hAnsi="Tahoma" w:cs="Tahoma"/>
          <w:color w:val="FF0000"/>
        </w:rPr>
      </w:pPr>
      <w:r w:rsidRPr="00DD5191">
        <w:rPr>
          <w:rFonts w:ascii="Tahoma" w:hAnsi="Tahoma" w:cs="Tahoma"/>
          <w:color w:val="FF0000"/>
        </w:rPr>
        <w:t xml:space="preserve">Naročnik v 1.fazi javnega naročila ugotavlja usposobljenost ponudnikov, zato  cene oz. vrednost posameznih postavk niso predmet 1. faze naročila. To je naročnik zapisal v razpisni </w:t>
      </w:r>
      <w:r w:rsidRPr="00DD5191">
        <w:rPr>
          <w:rFonts w:ascii="Tahoma" w:hAnsi="Tahoma" w:cs="Tahoma"/>
          <w:color w:val="FF0000"/>
        </w:rPr>
        <w:lastRenderedPageBreak/>
        <w:t>dokumentaciji.</w:t>
      </w:r>
      <w:r w:rsidRPr="00DD5191">
        <w:rPr>
          <w:rFonts w:ascii="Tahoma" w:hAnsi="Tahoma" w:cs="Tahoma"/>
        </w:rPr>
        <w:br/>
      </w:r>
      <w:r w:rsidR="00673C05" w:rsidRPr="00673C05">
        <w:rPr>
          <w:rFonts w:ascii="Tahoma" w:hAnsi="Tahoma" w:cs="Tahoma"/>
        </w:rPr>
        <w:br/>
        <w:t>2. Spoštovani. Glede na to, da je naročnik eksplicitno zapisal, da predlog/vzorec okvirnega sporazuma za preventivno vzdrževanje, generalni servis in intervencijsko vzdrževanje SPTE TOŠ, ni potrebno priložiti v fazi oddaje prijave, smatramo da bo vsebina predmetnega okvirnega sporazuma tudi predmet pogajanj v 2. fazi postopka. Prosimo za potrditev.</w:t>
      </w:r>
      <w:r w:rsidR="00673C05" w:rsidRPr="00673C05">
        <w:rPr>
          <w:rFonts w:ascii="Tahoma" w:hAnsi="Tahoma" w:cs="Tahoma"/>
        </w:rPr>
        <w:br/>
      </w:r>
      <w:r w:rsidR="00673C05" w:rsidRPr="00673C05">
        <w:rPr>
          <w:rFonts w:ascii="Tahoma" w:hAnsi="Tahoma" w:cs="Tahoma"/>
        </w:rPr>
        <w:br/>
      </w:r>
      <w:r w:rsidR="00183354">
        <w:rPr>
          <w:rFonts w:ascii="Tahoma" w:hAnsi="Tahoma" w:cs="Tahoma"/>
          <w:color w:val="FF0000"/>
        </w:rPr>
        <w:t>ODGOVOR:</w:t>
      </w:r>
    </w:p>
    <w:p w:rsidR="00183354" w:rsidRPr="00183354" w:rsidRDefault="00183354" w:rsidP="00673C05">
      <w:pPr>
        <w:rPr>
          <w:rFonts w:ascii="Tahoma" w:hAnsi="Tahoma" w:cs="Tahoma"/>
          <w:color w:val="FF0000"/>
        </w:rPr>
      </w:pPr>
      <w:r w:rsidRPr="00183354">
        <w:rPr>
          <w:rFonts w:ascii="Tahoma" w:hAnsi="Tahoma" w:cs="Tahoma"/>
          <w:color w:val="FF0000"/>
        </w:rPr>
        <w:t>Element pogajanj bo skupna ponudbena vrednost vzdrževanja in način plačila ( mesečni obroki ali plačilo po izvedenih delih).</w:t>
      </w:r>
    </w:p>
    <w:p w:rsidR="008343F2" w:rsidRDefault="00673C05" w:rsidP="00673C05">
      <w:pPr>
        <w:rPr>
          <w:rFonts w:ascii="Tahoma" w:hAnsi="Tahoma" w:cs="Tahoma"/>
        </w:rPr>
      </w:pPr>
      <w:r w:rsidRPr="00673C05">
        <w:rPr>
          <w:rFonts w:ascii="Tahoma" w:hAnsi="Tahoma" w:cs="Tahoma"/>
        </w:rPr>
        <w:br/>
        <w:t>3. V dokumentaciji v zvezi z oddajo javnega naročila, tč. 3.2.5 Dokazila o usposobljenosti in specifikacija preventivnega vzdrževanja in generalnega servisa (</w:t>
      </w:r>
      <w:proofErr w:type="spellStart"/>
      <w:r w:rsidRPr="00673C05">
        <w:rPr>
          <w:rFonts w:ascii="Tahoma" w:hAnsi="Tahoma" w:cs="Tahoma"/>
        </w:rPr>
        <w:t>overhaul</w:t>
      </w:r>
      <w:proofErr w:type="spellEnd"/>
      <w:r w:rsidRPr="00673C05">
        <w:rPr>
          <w:rFonts w:ascii="Tahoma" w:hAnsi="Tahoma" w:cs="Tahoma"/>
        </w:rPr>
        <w:t>), je zahtevano da kandidat (tč. 1. in tč. 2) priloži podrobno specifikacijo Preventivnega vzdrževanja (redni servis) in Generalnega servisa (</w:t>
      </w:r>
      <w:proofErr w:type="spellStart"/>
      <w:r w:rsidRPr="00673C05">
        <w:rPr>
          <w:rFonts w:ascii="Tahoma" w:hAnsi="Tahoma" w:cs="Tahoma"/>
        </w:rPr>
        <w:t>overhaul</w:t>
      </w:r>
      <w:proofErr w:type="spellEnd"/>
      <w:r w:rsidRPr="00673C05">
        <w:rPr>
          <w:rFonts w:ascii="Tahoma" w:hAnsi="Tahoma" w:cs="Tahoma"/>
        </w:rPr>
        <w:t>) za sklopa turbine, generatorja, reduktorja in kompresorja</w:t>
      </w:r>
      <w:r w:rsidRPr="00673C05">
        <w:rPr>
          <w:rFonts w:ascii="Tahoma" w:hAnsi="Tahoma" w:cs="Tahoma"/>
        </w:rPr>
        <w:br/>
        <w:t>V vzorcu vzorec okvirnega sporazuma za preventivno vzdrževanje, generalni servis in intervencijsko vzdrževanje SPTE TOŠ, 2. člen je navedeno, da je predmet okvirnega sporazuma preventivno vzdrževanje, generalni servis in intervencijsko vzdrževanje opreme in sistemov, ki so v obsegu sklopov 5, 6, 10 (brez dobave in menjave filtrov) in 14, 4. člena pogodbe Gradnje SPTE (naprava za soproizvodnjo toplote in električne energije) na lokaciji TOŠ. Iz slednjega izhaja da je predmet vzdrževanja kogeneracijsko postrojenje, kompresor zemeljskega plina, sistem za zajem zgorevalnega zraka (brez dobave in menjave filtrov, sistem vodenja nove SPTE in SCADA.</w:t>
      </w:r>
      <w:r w:rsidRPr="00673C05">
        <w:rPr>
          <w:rFonts w:ascii="Tahoma" w:hAnsi="Tahoma" w:cs="Tahoma"/>
        </w:rPr>
        <w:br/>
      </w:r>
      <w:r w:rsidRPr="00673C05">
        <w:rPr>
          <w:rFonts w:ascii="Tahoma" w:hAnsi="Tahoma" w:cs="Tahoma"/>
        </w:rPr>
        <w:br/>
        <w:t>Prosimo naročnika da nedvoumno definira predmet vzdrževanja.</w:t>
      </w:r>
    </w:p>
    <w:p w:rsidR="008343F2" w:rsidRDefault="008343F2" w:rsidP="00673C05">
      <w:pPr>
        <w:rPr>
          <w:rFonts w:ascii="Tahoma" w:hAnsi="Tahoma" w:cs="Tahoma"/>
          <w:color w:val="FF0000"/>
        </w:rPr>
      </w:pPr>
      <w:r>
        <w:rPr>
          <w:rFonts w:ascii="Tahoma" w:hAnsi="Tahoma" w:cs="Tahoma"/>
          <w:color w:val="FF0000"/>
        </w:rPr>
        <w:t>ODGOVOR:</w:t>
      </w:r>
    </w:p>
    <w:p w:rsidR="008343F2" w:rsidRPr="008343F2" w:rsidRDefault="008343F2" w:rsidP="008343F2">
      <w:pPr>
        <w:rPr>
          <w:rFonts w:ascii="Tahoma" w:hAnsi="Tahoma" w:cs="Tahoma"/>
          <w:color w:val="FF0000"/>
        </w:rPr>
      </w:pPr>
      <w:r w:rsidRPr="008343F2">
        <w:rPr>
          <w:rFonts w:ascii="Tahoma" w:hAnsi="Tahoma" w:cs="Tahoma"/>
          <w:color w:val="FF0000"/>
        </w:rPr>
        <w:t xml:space="preserve">Predmet vzdrževanja so sklopi </w:t>
      </w:r>
    </w:p>
    <w:p w:rsidR="008343F2" w:rsidRPr="008343F2" w:rsidRDefault="008343F2" w:rsidP="008343F2">
      <w:pPr>
        <w:pStyle w:val="Odstavekseznama"/>
        <w:numPr>
          <w:ilvl w:val="0"/>
          <w:numId w:val="2"/>
        </w:numPr>
        <w:spacing w:after="0" w:line="240" w:lineRule="auto"/>
        <w:contextualSpacing w:val="0"/>
        <w:rPr>
          <w:rFonts w:ascii="Tahoma" w:hAnsi="Tahoma" w:cs="Tahoma"/>
          <w:color w:val="FF0000"/>
        </w:rPr>
      </w:pPr>
      <w:r w:rsidRPr="008343F2">
        <w:rPr>
          <w:rFonts w:ascii="Tahoma" w:hAnsi="Tahoma" w:cs="Tahoma"/>
          <w:color w:val="FF0000"/>
        </w:rPr>
        <w:t>5 oz. podsklopa kot sestavni del sklopa 5a in 5b – celotno kogeneracijskega postrojenja (</w:t>
      </w:r>
      <w:proofErr w:type="spellStart"/>
      <w:r w:rsidRPr="008343F2">
        <w:rPr>
          <w:rFonts w:ascii="Tahoma" w:hAnsi="Tahoma" w:cs="Tahoma"/>
          <w:color w:val="FF0000"/>
        </w:rPr>
        <w:t>package</w:t>
      </w:r>
      <w:proofErr w:type="spellEnd"/>
      <w:r w:rsidRPr="008343F2">
        <w:rPr>
          <w:rFonts w:ascii="Tahoma" w:hAnsi="Tahoma" w:cs="Tahoma"/>
          <w:color w:val="FF0000"/>
        </w:rPr>
        <w:t>)</w:t>
      </w:r>
    </w:p>
    <w:p w:rsidR="008343F2" w:rsidRPr="008343F2" w:rsidRDefault="008343F2" w:rsidP="008343F2">
      <w:pPr>
        <w:pStyle w:val="Odstavekseznama"/>
        <w:numPr>
          <w:ilvl w:val="0"/>
          <w:numId w:val="2"/>
        </w:numPr>
        <w:spacing w:after="0" w:line="240" w:lineRule="auto"/>
        <w:contextualSpacing w:val="0"/>
        <w:rPr>
          <w:rFonts w:ascii="Tahoma" w:hAnsi="Tahoma" w:cs="Tahoma"/>
          <w:color w:val="FF0000"/>
        </w:rPr>
      </w:pPr>
      <w:r w:rsidRPr="008343F2">
        <w:rPr>
          <w:rFonts w:ascii="Tahoma" w:hAnsi="Tahoma" w:cs="Tahoma"/>
          <w:color w:val="FF0000"/>
        </w:rPr>
        <w:t>6   Predmet vzdrževanja je kompresor zemeljskega plina</w:t>
      </w:r>
    </w:p>
    <w:p w:rsidR="008343F2" w:rsidRPr="008343F2" w:rsidRDefault="008343F2" w:rsidP="008343F2">
      <w:pPr>
        <w:pStyle w:val="Odstavekseznama"/>
        <w:numPr>
          <w:ilvl w:val="0"/>
          <w:numId w:val="2"/>
        </w:numPr>
        <w:spacing w:after="0" w:line="240" w:lineRule="auto"/>
        <w:contextualSpacing w:val="0"/>
        <w:rPr>
          <w:rFonts w:ascii="Tahoma" w:hAnsi="Tahoma" w:cs="Tahoma"/>
          <w:color w:val="FF0000"/>
        </w:rPr>
      </w:pPr>
      <w:r w:rsidRPr="008343F2">
        <w:rPr>
          <w:rFonts w:ascii="Tahoma" w:hAnsi="Tahoma" w:cs="Tahoma"/>
          <w:color w:val="FF0000"/>
        </w:rPr>
        <w:t>10 Predmet vzdrževanja je sistem za zajem zgorevalnega zraka, brez filtrov</w:t>
      </w:r>
    </w:p>
    <w:p w:rsidR="008343F2" w:rsidRPr="008343F2" w:rsidRDefault="008343F2" w:rsidP="008343F2">
      <w:pPr>
        <w:pStyle w:val="Odstavekseznama"/>
        <w:numPr>
          <w:ilvl w:val="0"/>
          <w:numId w:val="2"/>
        </w:numPr>
        <w:spacing w:after="0" w:line="240" w:lineRule="auto"/>
        <w:contextualSpacing w:val="0"/>
        <w:rPr>
          <w:rFonts w:ascii="Tahoma" w:hAnsi="Tahoma" w:cs="Tahoma"/>
          <w:color w:val="FF0000"/>
        </w:rPr>
      </w:pPr>
      <w:r w:rsidRPr="008343F2">
        <w:rPr>
          <w:rFonts w:ascii="Tahoma" w:hAnsi="Tahoma" w:cs="Tahoma"/>
          <w:color w:val="FF0000"/>
        </w:rPr>
        <w:t>14 Predmet vzdrževanja je strojna in programska oprema sistema vodenja SPTE, vključno s SCADO</w:t>
      </w:r>
    </w:p>
    <w:p w:rsidR="008343F2" w:rsidRPr="008343F2" w:rsidRDefault="008343F2" w:rsidP="008343F2">
      <w:pPr>
        <w:rPr>
          <w:rFonts w:ascii="Tahoma" w:hAnsi="Tahoma" w:cs="Tahoma"/>
        </w:rPr>
      </w:pPr>
    </w:p>
    <w:p w:rsidR="0081184D" w:rsidRPr="00F20682" w:rsidRDefault="0081184D" w:rsidP="0081184D">
      <w:pPr>
        <w:rPr>
          <w:rFonts w:ascii="Tahoma" w:hAnsi="Tahoma" w:cs="Tahoma"/>
          <w:b/>
          <w:bCs/>
          <w:i/>
          <w:u w:val="single"/>
        </w:rPr>
      </w:pPr>
      <w:r w:rsidRPr="00F20682">
        <w:rPr>
          <w:rFonts w:ascii="Tahoma" w:hAnsi="Tahoma" w:cs="Tahoma"/>
          <w:b/>
          <w:bCs/>
          <w:i/>
          <w:u w:val="single"/>
        </w:rPr>
        <w:t>Datum prejema: 14.10.2020</w:t>
      </w:r>
      <w:r w:rsidRPr="00F20682">
        <w:rPr>
          <w:rFonts w:ascii="Tahoma" w:hAnsi="Tahoma" w:cs="Tahoma"/>
          <w:b/>
          <w:bCs/>
          <w:i/>
          <w:u w:val="single"/>
        </w:rPr>
        <w:t>,</w:t>
      </w:r>
      <w:r w:rsidRPr="00F20682">
        <w:rPr>
          <w:rFonts w:ascii="Tahoma" w:hAnsi="Tahoma" w:cs="Tahoma"/>
          <w:b/>
          <w:bCs/>
          <w:i/>
          <w:u w:val="single"/>
        </w:rPr>
        <w:t xml:space="preserve"> 11:02 </w:t>
      </w:r>
    </w:p>
    <w:p w:rsidR="0044134B" w:rsidRPr="0044134B" w:rsidRDefault="00673C05" w:rsidP="0044134B">
      <w:pPr>
        <w:pStyle w:val="Odstavekseznama"/>
        <w:numPr>
          <w:ilvl w:val="0"/>
          <w:numId w:val="1"/>
        </w:numPr>
        <w:rPr>
          <w:rFonts w:ascii="Tahoma" w:hAnsi="Tahoma" w:cs="Tahoma"/>
        </w:rPr>
      </w:pPr>
      <w:r w:rsidRPr="0044134B">
        <w:rPr>
          <w:rFonts w:ascii="Tahoma" w:hAnsi="Tahoma" w:cs="Tahoma"/>
        </w:rPr>
        <w:t>V vašem odgovoru 8 z dne 12.10.2020 ste zapisali, da mora biti v ponudbeno vrednost vključeno pridobivanje EX certifikata za celotno kotlovnico 2.</w:t>
      </w:r>
      <w:r w:rsidRPr="0044134B">
        <w:rPr>
          <w:rFonts w:ascii="Tahoma" w:hAnsi="Tahoma" w:cs="Tahoma"/>
        </w:rPr>
        <w:br/>
        <w:t>Ponovno opozarjamo na to, da naročnik od izvajalca ne more zahtevati pridobitev navedenega certifikata za elaborat, opremo in dela če le ta niso v njegovi domeni in kot predmet ne sodijo v obseg po tem razpisu. To zahtevo razumemo predvsem kot dejstvo, da naročnik želi urediti in pridobiti navedeni certifikat za celotno kotlovnico 2, tudi za obseg izven obsega predmetnega razpisa, za ponudnika neznano zatečeno stanje.</w:t>
      </w:r>
      <w:r w:rsidRPr="0044134B">
        <w:rPr>
          <w:rFonts w:ascii="Tahoma" w:hAnsi="Tahoma" w:cs="Tahoma"/>
        </w:rPr>
        <w:br/>
        <w:t xml:space="preserve">Ponudnik predlaga spremembo vzorca pogodbe tako, da izvajalec pridobi Certifikat </w:t>
      </w:r>
      <w:r w:rsidRPr="0044134B">
        <w:rPr>
          <w:rFonts w:ascii="Tahoma" w:hAnsi="Tahoma" w:cs="Tahoma"/>
        </w:rPr>
        <w:lastRenderedPageBreak/>
        <w:t>skladnosti elaborata eksplozijske ogroženosti z oceno tveganja in vgraditve Ex opreme za celotno kotlovnico 2, pri čemer za dela v njegovem obsegu vso potrebno dokumentacijo zagotovi izvajalec, za obstoječe zatečeno stanje, v katerega izvajalec ne bo posegal, pa vso potrebno dokumentacijo oz. morebitne popravke izvedbe zagotovi naročnik.</w:t>
      </w:r>
    </w:p>
    <w:p w:rsidR="0044134B" w:rsidRDefault="0044134B" w:rsidP="0044134B">
      <w:pPr>
        <w:ind w:left="360"/>
        <w:rPr>
          <w:rFonts w:ascii="Tahoma" w:hAnsi="Tahoma" w:cs="Tahoma"/>
          <w:color w:val="FF0000"/>
        </w:rPr>
      </w:pPr>
      <w:r>
        <w:rPr>
          <w:rFonts w:ascii="Tahoma" w:hAnsi="Tahoma" w:cs="Tahoma"/>
          <w:color w:val="FF0000"/>
        </w:rPr>
        <w:t>ODGOVOR:</w:t>
      </w:r>
    </w:p>
    <w:p w:rsidR="00700E92" w:rsidRDefault="0044134B" w:rsidP="0044134B">
      <w:pPr>
        <w:ind w:left="360"/>
        <w:rPr>
          <w:rFonts w:ascii="Tahoma" w:hAnsi="Tahoma" w:cs="Tahoma"/>
        </w:rPr>
      </w:pPr>
      <w:r w:rsidRPr="0044134B">
        <w:rPr>
          <w:rFonts w:ascii="Tahoma" w:hAnsi="Tahoma" w:cs="Tahoma"/>
          <w:color w:val="FF0000"/>
        </w:rPr>
        <w:t>Naročnik lahko z javnim naročilom naroči kar smatra, da potrebuje. Če ponudnik umešča novo napravo v obstoječe skupne prostore, mora upoštevati obstoječe stanje in stanje, ki bo nastalo po umestitvi nove naprave. Za pridobitev ex certifikata prostora mora izdelati EX elaborat celotne kotlovnice, izvesti ukrepe, ki jih predpiše elaborat in s strani pooblaščenega organa (npr. SIQ, BVQI,…) pridobiti certifikat. V prostoru v katerega se umešča nova SPTE je vgrajen vročevodni kotel, za katerega je bil izdelan EX elaborat, ki postane sestavni del skupnega PID EX elaborata, ki je osnova za pridobitev EX certifikata.</w:t>
      </w:r>
      <w:r w:rsidRPr="0044134B">
        <w:rPr>
          <w:rFonts w:ascii="Tahoma" w:hAnsi="Tahoma" w:cs="Tahoma"/>
        </w:rPr>
        <w:br/>
      </w:r>
      <w:r w:rsidR="00673C05" w:rsidRPr="0044134B">
        <w:rPr>
          <w:rFonts w:ascii="Tahoma" w:hAnsi="Tahoma" w:cs="Tahoma"/>
        </w:rPr>
        <w:br/>
      </w:r>
      <w:r w:rsidR="00673C05" w:rsidRPr="0044134B">
        <w:rPr>
          <w:rFonts w:ascii="Tahoma" w:hAnsi="Tahoma" w:cs="Tahoma"/>
        </w:rPr>
        <w:br/>
        <w:t>2. V vašem odgovoru 8 z dne 12.10.2020 ste zapisali: Naročnik ne bo spreminjal razpisnih pogojev v zvezi s vprašanjem zagotovitve uporabnega dovoljenja.</w:t>
      </w:r>
      <w:r w:rsidR="00673C05" w:rsidRPr="0044134B">
        <w:rPr>
          <w:rFonts w:ascii="Tahoma" w:hAnsi="Tahoma" w:cs="Tahoma"/>
        </w:rPr>
        <w:br/>
      </w:r>
      <w:r w:rsidR="00673C05" w:rsidRPr="0044134B">
        <w:rPr>
          <w:rFonts w:ascii="Tahoma" w:hAnsi="Tahoma" w:cs="Tahoma"/>
        </w:rPr>
        <w:br/>
        <w:t>Naročnika ponovno opozarjamo, da na podlagi 1. In 6. Odstavka 68. Člena GZ uporabno dovoljenje pridobi investitor, pri čemer se investitorjevi zahtevi za izdajo priložijo izjave projektanta in izvajalca o skladnosti dokončanih del z gradbenim dovoljenjem, dokazilo o zanesljivosti objekta in morebitne druge izjave.</w:t>
      </w:r>
      <w:r w:rsidR="00673C05" w:rsidRPr="0044134B">
        <w:rPr>
          <w:rFonts w:ascii="Tahoma" w:hAnsi="Tahoma" w:cs="Tahoma"/>
        </w:rPr>
        <w:br/>
        <w:t>Ponudnik zato ponovno predlaga spremembo vzorca pogodbe tako, da je pridobitev uporabnega dovoljenja obveznost Naročnika, obveznost Izvajalca pa predložitev vseh potrebnih izjav, ki so po zakonu obvezna priloga zahteve za izdajo uporabnega dovoljenja in v domeni Izvajalca.</w:t>
      </w:r>
    </w:p>
    <w:p w:rsidR="00EA259D" w:rsidRDefault="00700E92" w:rsidP="0044134B">
      <w:pPr>
        <w:ind w:left="360"/>
        <w:rPr>
          <w:rFonts w:ascii="Tahoma" w:hAnsi="Tahoma" w:cs="Tahoma"/>
        </w:rPr>
      </w:pPr>
      <w:r>
        <w:rPr>
          <w:rFonts w:ascii="Tahoma" w:hAnsi="Tahoma" w:cs="Tahoma"/>
          <w:color w:val="FF0000"/>
        </w:rPr>
        <w:t>ODGOVOR:</w:t>
      </w:r>
      <w:r w:rsidR="00673C05" w:rsidRPr="0044134B">
        <w:rPr>
          <w:rFonts w:ascii="Tahoma" w:hAnsi="Tahoma" w:cs="Tahoma"/>
        </w:rPr>
        <w:br/>
      </w:r>
      <w:r w:rsidRPr="00700E92">
        <w:rPr>
          <w:rFonts w:ascii="Tahoma" w:hAnsi="Tahoma" w:cs="Tahoma"/>
          <w:color w:val="FF0000"/>
        </w:rPr>
        <w:t xml:space="preserve">Naročnik se lahko odloči, da uporabno dovoljenje pridobi sam ali pa za to pooblasti izvajalca. V tem primeru se je odločil, da pooblasti izvajalca, ker mora izvajalec v vsakem primeru sestaviti DZO in izdelati PID. </w:t>
      </w:r>
      <w:proofErr w:type="spellStart"/>
      <w:r w:rsidRPr="00700E92">
        <w:rPr>
          <w:rFonts w:ascii="Tahoma" w:hAnsi="Tahoma" w:cs="Tahoma"/>
          <w:color w:val="FF0000"/>
        </w:rPr>
        <w:t>Časovnica</w:t>
      </w:r>
      <w:proofErr w:type="spellEnd"/>
      <w:r w:rsidRPr="00700E92">
        <w:rPr>
          <w:rFonts w:ascii="Tahoma" w:hAnsi="Tahoma" w:cs="Tahoma"/>
          <w:color w:val="FF0000"/>
        </w:rPr>
        <w:t xml:space="preserve"> izdelave DZO in PID je v rokah izvajalca, kar pomeni da ima ključen vpliv na potek pridobivanja uporabnega dovoljenja.   Pridobitev uporabnega dovoljenja s strani izvajalca predvideva tudi  Gradbeni zakon in obrazec Priloga 15, ki si ga ponudnik lahko ogleda na spletnem naslovu (</w:t>
      </w:r>
      <w:hyperlink r:id="rId7" w:history="1">
        <w:r w:rsidRPr="00700E92">
          <w:rPr>
            <w:rStyle w:val="Hiperpovezava"/>
            <w:rFonts w:ascii="Tahoma" w:hAnsi="Tahoma" w:cs="Tahoma"/>
          </w:rPr>
          <w:t>https://www.gov.si/podrocja/okolje-in-prostor/nepremicnine/obrazci/</w:t>
        </w:r>
      </w:hyperlink>
      <w:r w:rsidRPr="00700E92">
        <w:rPr>
          <w:rFonts w:ascii="Tahoma" w:hAnsi="Tahoma" w:cs="Tahoma"/>
        </w:rPr>
        <w:t>).</w:t>
      </w:r>
      <w:r w:rsidRPr="00700E92">
        <w:rPr>
          <w:rFonts w:ascii="Tahoma" w:hAnsi="Tahoma" w:cs="Tahoma"/>
        </w:rPr>
        <w:br/>
      </w:r>
      <w:r w:rsidR="00673C05" w:rsidRPr="0044134B">
        <w:rPr>
          <w:rFonts w:ascii="Tahoma" w:hAnsi="Tahoma" w:cs="Tahoma"/>
        </w:rPr>
        <w:br/>
        <w:t>3. V vašem odgovoru 8 z dne 12.10.2020 ste zapisali: Za obstoječe stanje ima naročnik že izdelane študije požarne varnosti in pridobljen izkaz požarne varnosti. Ponudnik mora v skupni študiji upoštevati obstoječe in novo stanje kot celoto.</w:t>
      </w:r>
      <w:r w:rsidR="00673C05" w:rsidRPr="0044134B">
        <w:rPr>
          <w:rFonts w:ascii="Tahoma" w:hAnsi="Tahoma" w:cs="Tahoma"/>
        </w:rPr>
        <w:br/>
      </w:r>
      <w:r w:rsidR="00673C05" w:rsidRPr="0044134B">
        <w:rPr>
          <w:rFonts w:ascii="Tahoma" w:hAnsi="Tahoma" w:cs="Tahoma"/>
        </w:rPr>
        <w:br/>
        <w:t>Izvajalec predlaga, da se razmeji odgovornost iz ukrepov skupne študije, ki jo izdela izvajalec, na segmente v katere bo posegal izvajalec in za kar je tudi odgovoren, in na segmente obstoječega stanja, v katere izvajalec ne bo posegal in za katere bo odgovoren naročnik.</w:t>
      </w:r>
    </w:p>
    <w:p w:rsidR="00EA259D" w:rsidRDefault="00EA259D" w:rsidP="0044134B">
      <w:pPr>
        <w:ind w:left="360"/>
        <w:rPr>
          <w:rFonts w:ascii="Tahoma" w:hAnsi="Tahoma" w:cs="Tahoma"/>
        </w:rPr>
      </w:pPr>
      <w:r>
        <w:rPr>
          <w:rFonts w:ascii="Tahoma" w:hAnsi="Tahoma" w:cs="Tahoma"/>
          <w:color w:val="FF0000"/>
        </w:rPr>
        <w:t>ODGOVOR:</w:t>
      </w:r>
    </w:p>
    <w:p w:rsidR="00EA259D" w:rsidRPr="00EA259D" w:rsidRDefault="00EA259D" w:rsidP="00EA259D">
      <w:pPr>
        <w:pStyle w:val="Odstavekseznama"/>
        <w:ind w:left="360"/>
        <w:rPr>
          <w:rFonts w:ascii="Tahoma" w:hAnsi="Tahoma" w:cs="Tahoma"/>
          <w:color w:val="FF0000"/>
        </w:rPr>
      </w:pPr>
      <w:r w:rsidRPr="00EA259D">
        <w:rPr>
          <w:rFonts w:ascii="Tahoma" w:hAnsi="Tahoma" w:cs="Tahoma"/>
          <w:color w:val="FF0000"/>
        </w:rPr>
        <w:lastRenderedPageBreak/>
        <w:t xml:space="preserve">Pri zagotavljanju varstva pred požarom velja enaka logika kot pri zagotavljanj varstva pred eksplozijsko ogroženostjo. Pri izdelavi izkaza požarne varnosti je potrebno upoštevati kotlovnico 2, kot celoto. </w:t>
      </w:r>
    </w:p>
    <w:p w:rsidR="00673C05" w:rsidRPr="0044134B" w:rsidRDefault="00673C05" w:rsidP="0044134B">
      <w:pPr>
        <w:ind w:left="360"/>
        <w:rPr>
          <w:rFonts w:ascii="Tahoma" w:hAnsi="Tahoma" w:cs="Tahoma"/>
        </w:rPr>
      </w:pPr>
      <w:r w:rsidRPr="0044134B">
        <w:rPr>
          <w:rFonts w:ascii="Tahoma" w:hAnsi="Tahoma" w:cs="Tahoma"/>
        </w:rPr>
        <w:br/>
      </w:r>
    </w:p>
    <w:p w:rsidR="00F20682" w:rsidRPr="00F20682" w:rsidRDefault="00F20682" w:rsidP="00673C05">
      <w:pPr>
        <w:rPr>
          <w:rFonts w:ascii="Tahoma" w:hAnsi="Tahoma" w:cs="Tahoma"/>
          <w:i/>
          <w:u w:val="single"/>
        </w:rPr>
      </w:pPr>
      <w:r w:rsidRPr="00F20682">
        <w:rPr>
          <w:rFonts w:ascii="Tahoma" w:hAnsi="Tahoma" w:cs="Tahoma"/>
          <w:b/>
          <w:bCs/>
          <w:i/>
          <w:u w:val="single"/>
        </w:rPr>
        <w:t>Datum prejema: 14.10.2020   10:50</w:t>
      </w:r>
    </w:p>
    <w:p w:rsidR="00D148CD" w:rsidRDefault="00673C05" w:rsidP="00673C05">
      <w:pPr>
        <w:rPr>
          <w:rFonts w:ascii="Tahoma" w:hAnsi="Tahoma" w:cs="Tahoma"/>
        </w:rPr>
      </w:pPr>
      <w:r w:rsidRPr="00673C05">
        <w:rPr>
          <w:rFonts w:ascii="Tahoma" w:hAnsi="Tahoma" w:cs="Tahoma"/>
        </w:rPr>
        <w:t>Pod naslovom Vgradnja grelnika omrežne vode (EKO 2) na strani 25 v DZR (Tehnična izhodišča za strojni in elektro del) navajate:</w:t>
      </w:r>
      <w:r w:rsidRPr="00673C05">
        <w:rPr>
          <w:rFonts w:ascii="Tahoma" w:hAnsi="Tahoma" w:cs="Tahoma"/>
        </w:rPr>
        <w:br/>
        <w:t>V sklop dobave grelnika omrežne vode spada tudi:</w:t>
      </w:r>
      <w:r w:rsidRPr="00673C05">
        <w:rPr>
          <w:rFonts w:ascii="Tahoma" w:hAnsi="Tahoma" w:cs="Tahoma"/>
        </w:rPr>
        <w:br/>
        <w:t>- obtočni črpalki (ena črpalka 100% rezerva) z regulacijo pretoka s frekvenčnima regulatorjema pretoka. Regulacija mora biti kaskadna s temperaturo in pretokom omrežne vode (zaradi izravnave vpliva nihanja tlaka v omrežju).</w:t>
      </w:r>
      <w:r w:rsidRPr="00673C05">
        <w:rPr>
          <w:rFonts w:ascii="Tahoma" w:hAnsi="Tahoma" w:cs="Tahoma"/>
        </w:rPr>
        <w:br/>
        <w:t>Vprašanje je ali se električna poraba obtočne črpalke omrežne vode šteje oziroma upošteva kot lastna raba SPTE postrojenja?</w:t>
      </w:r>
    </w:p>
    <w:p w:rsidR="009C6A7B" w:rsidRDefault="009C6A7B" w:rsidP="00673C05">
      <w:pPr>
        <w:rPr>
          <w:rFonts w:ascii="Tahoma" w:hAnsi="Tahoma" w:cs="Tahoma"/>
          <w:color w:val="FF0000"/>
        </w:rPr>
      </w:pPr>
      <w:r>
        <w:rPr>
          <w:rFonts w:ascii="Tahoma" w:hAnsi="Tahoma" w:cs="Tahoma"/>
          <w:color w:val="FF0000"/>
        </w:rPr>
        <w:t>ODGOVOR:</w:t>
      </w:r>
    </w:p>
    <w:p w:rsidR="009C6A7B" w:rsidRPr="009C6A7B" w:rsidRDefault="009C6A7B" w:rsidP="009C6A7B">
      <w:pPr>
        <w:rPr>
          <w:rFonts w:ascii="Tahoma" w:hAnsi="Tahoma" w:cs="Tahoma"/>
          <w:color w:val="FF0000"/>
        </w:rPr>
      </w:pPr>
      <w:r w:rsidRPr="009C6A7B">
        <w:rPr>
          <w:rFonts w:ascii="Tahoma" w:hAnsi="Tahoma" w:cs="Tahoma"/>
          <w:color w:val="FF0000"/>
        </w:rPr>
        <w:t xml:space="preserve">Po pogojih </w:t>
      </w:r>
      <w:r w:rsidRPr="009C6A7B">
        <w:rPr>
          <w:rFonts w:ascii="Tahoma" w:hAnsi="Tahoma" w:cs="Tahoma"/>
          <w:b/>
          <w:bCs/>
          <w:color w:val="FF0000"/>
        </w:rPr>
        <w:t> Uredbe  o podporah elektriki, proizvedeni iz obnovljivih virov energije in v soproizvodnji toplote in elektrike z visokim izkoristkom</w:t>
      </w:r>
      <w:r w:rsidR="007F58E3">
        <w:rPr>
          <w:rFonts w:ascii="Tahoma" w:hAnsi="Tahoma" w:cs="Tahoma"/>
          <w:b/>
          <w:bCs/>
          <w:color w:val="FF0000"/>
        </w:rPr>
        <w:t xml:space="preserve"> </w:t>
      </w:r>
      <w:r w:rsidR="00187CEB">
        <w:rPr>
          <w:rFonts w:ascii="Tahoma" w:hAnsi="Tahoma" w:cs="Tahoma"/>
          <w:b/>
          <w:bCs/>
          <w:color w:val="FF0000"/>
        </w:rPr>
        <w:t>j</w:t>
      </w:r>
      <w:r w:rsidRPr="009C6A7B">
        <w:rPr>
          <w:rFonts w:ascii="Tahoma" w:hAnsi="Tahoma" w:cs="Tahoma"/>
          <w:b/>
          <w:bCs/>
          <w:color w:val="FF0000"/>
        </w:rPr>
        <w:t xml:space="preserve">e lastna raba proizvodne naprave </w:t>
      </w:r>
      <w:r w:rsidRPr="009C6A7B">
        <w:rPr>
          <w:rFonts w:ascii="Tahoma" w:hAnsi="Tahoma" w:cs="Tahoma"/>
          <w:color w:val="FF0000"/>
        </w:rPr>
        <w:t> elektrika, porabljena za obratovanje same proizvodne naprave, za pogon napajalnih črpalk, kompresorjev, mlinov, gorilnikov, čistilne naprave in drugih podobnih naprav, nujnih za delovanje proizvodne naprave. Obtočna črpalka grelnika omrežne vode (EKO2)  spada pod naprave nujne za obratovanje proizvodnje naprave.</w:t>
      </w:r>
    </w:p>
    <w:p w:rsidR="000340E4" w:rsidRDefault="000340E4" w:rsidP="000340E4">
      <w:pPr>
        <w:jc w:val="both"/>
        <w:rPr>
          <w:rFonts w:ascii="Tahoma" w:hAnsi="Tahoma" w:cs="Tahoma"/>
        </w:rPr>
      </w:pPr>
    </w:p>
    <w:p w:rsidR="000340E4" w:rsidRPr="000340E4" w:rsidRDefault="000340E4" w:rsidP="000340E4">
      <w:pPr>
        <w:jc w:val="both"/>
        <w:rPr>
          <w:rFonts w:ascii="Tahoma" w:hAnsi="Tahoma" w:cs="Tahoma"/>
          <w:lang w:eastAsia="x-none"/>
        </w:rPr>
      </w:pPr>
      <w:r w:rsidRPr="000340E4">
        <w:rPr>
          <w:rFonts w:ascii="Tahoma" w:hAnsi="Tahoma" w:cs="Tahoma"/>
        </w:rPr>
        <w:t>Naročnik spreminja 2. odstavek, točke 1.1. Predmet javnega naročila in sicer se črta naslednje besedilo: »</w:t>
      </w:r>
      <w:r w:rsidRPr="000340E4">
        <w:rPr>
          <w:rFonts w:ascii="Tahoma" w:hAnsi="Tahoma" w:cs="Tahoma"/>
          <w:lang w:eastAsia="x-none"/>
        </w:rPr>
        <w:t xml:space="preserve">ki bodo potekala v  dveh krogih. Element pogajanj bo skupna ponudbena vrednost.« Naročnik bo protokol in elemente pogajanj opredelil v povabilu k oddaji prve ponudbe. </w:t>
      </w:r>
    </w:p>
    <w:p w:rsidR="000340E4" w:rsidRDefault="000340E4" w:rsidP="000340E4">
      <w:pPr>
        <w:rPr>
          <w:rFonts w:ascii="Calibri" w:hAnsi="Calibri" w:cs="Times New Roman"/>
        </w:rPr>
      </w:pPr>
    </w:p>
    <w:p w:rsidR="009C6A7B" w:rsidRPr="009C6A7B" w:rsidRDefault="009C6A7B" w:rsidP="00673C05">
      <w:pPr>
        <w:rPr>
          <w:rFonts w:ascii="Tahoma" w:hAnsi="Tahoma" w:cs="Tahoma"/>
          <w:color w:val="FF0000"/>
        </w:rPr>
      </w:pPr>
    </w:p>
    <w:sectPr w:rsidR="009C6A7B" w:rsidRPr="009C6A7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208" w:rsidRDefault="008A1208" w:rsidP="008A1208">
      <w:pPr>
        <w:spacing w:after="0" w:line="240" w:lineRule="auto"/>
      </w:pPr>
      <w:r>
        <w:separator/>
      </w:r>
    </w:p>
  </w:endnote>
  <w:endnote w:type="continuationSeparator" w:id="0">
    <w:p w:rsidR="008A1208" w:rsidRDefault="008A1208" w:rsidP="008A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08" w:rsidRDefault="008A120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rPr>
        <w:rFonts w:ascii="Tahoma" w:hAnsi="Tahoma" w:cs="Tahoma"/>
        <w:sz w:val="16"/>
        <w:szCs w:val="16"/>
      </w:rPr>
      <w:id w:val="-433047836"/>
      <w:docPartObj>
        <w:docPartGallery w:val="Page Numbers (Bottom of Page)"/>
        <w:docPartUnique/>
      </w:docPartObj>
    </w:sdtPr>
    <w:sdtContent>
      <w:sdt>
        <w:sdtPr>
          <w:rPr>
            <w:rFonts w:ascii="Tahoma" w:hAnsi="Tahoma" w:cs="Tahoma"/>
            <w:sz w:val="16"/>
            <w:szCs w:val="16"/>
          </w:rPr>
          <w:id w:val="-1705238520"/>
          <w:docPartObj>
            <w:docPartGallery w:val="Page Numbers (Top of Page)"/>
            <w:docPartUnique/>
          </w:docPartObj>
        </w:sdtPr>
        <w:sdtContent>
          <w:p w:rsidR="008A1208" w:rsidRPr="008A1208" w:rsidRDefault="008A1208" w:rsidP="008A1208">
            <w:pPr>
              <w:pStyle w:val="Noga"/>
              <w:jc w:val="center"/>
              <w:rPr>
                <w:rFonts w:ascii="Tahoma" w:hAnsi="Tahoma" w:cs="Tahoma"/>
                <w:sz w:val="16"/>
                <w:szCs w:val="16"/>
              </w:rPr>
            </w:pPr>
            <w:r w:rsidRPr="008A1208">
              <w:rPr>
                <w:rFonts w:ascii="Tahoma" w:hAnsi="Tahoma" w:cs="Tahoma"/>
                <w:sz w:val="16"/>
                <w:szCs w:val="16"/>
              </w:rPr>
              <w:t xml:space="preserve">Stran </w:t>
            </w:r>
            <w:r w:rsidRPr="008A1208">
              <w:rPr>
                <w:rFonts w:ascii="Tahoma" w:hAnsi="Tahoma" w:cs="Tahoma"/>
                <w:bCs/>
                <w:sz w:val="16"/>
                <w:szCs w:val="16"/>
              </w:rPr>
              <w:fldChar w:fldCharType="begin"/>
            </w:r>
            <w:r w:rsidRPr="008A1208">
              <w:rPr>
                <w:rFonts w:ascii="Tahoma" w:hAnsi="Tahoma" w:cs="Tahoma"/>
                <w:bCs/>
                <w:sz w:val="16"/>
                <w:szCs w:val="16"/>
              </w:rPr>
              <w:instrText>PAGE</w:instrText>
            </w:r>
            <w:r w:rsidRPr="008A1208">
              <w:rPr>
                <w:rFonts w:ascii="Tahoma" w:hAnsi="Tahoma" w:cs="Tahoma"/>
                <w:bCs/>
                <w:sz w:val="16"/>
                <w:szCs w:val="16"/>
              </w:rPr>
              <w:fldChar w:fldCharType="separate"/>
            </w:r>
            <w:r>
              <w:rPr>
                <w:rFonts w:ascii="Tahoma" w:hAnsi="Tahoma" w:cs="Tahoma"/>
                <w:bCs/>
                <w:noProof/>
                <w:sz w:val="16"/>
                <w:szCs w:val="16"/>
              </w:rPr>
              <w:t>4</w:t>
            </w:r>
            <w:r w:rsidRPr="008A1208">
              <w:rPr>
                <w:rFonts w:ascii="Tahoma" w:hAnsi="Tahoma" w:cs="Tahoma"/>
                <w:bCs/>
                <w:sz w:val="16"/>
                <w:szCs w:val="16"/>
              </w:rPr>
              <w:fldChar w:fldCharType="end"/>
            </w:r>
            <w:r w:rsidRPr="008A1208">
              <w:rPr>
                <w:rFonts w:ascii="Tahoma" w:hAnsi="Tahoma" w:cs="Tahoma"/>
                <w:sz w:val="16"/>
                <w:szCs w:val="16"/>
              </w:rPr>
              <w:t xml:space="preserve"> od </w:t>
            </w:r>
            <w:r w:rsidRPr="008A1208">
              <w:rPr>
                <w:rFonts w:ascii="Tahoma" w:hAnsi="Tahoma" w:cs="Tahoma"/>
                <w:bCs/>
                <w:sz w:val="16"/>
                <w:szCs w:val="16"/>
              </w:rPr>
              <w:fldChar w:fldCharType="begin"/>
            </w:r>
            <w:r w:rsidRPr="008A1208">
              <w:rPr>
                <w:rFonts w:ascii="Tahoma" w:hAnsi="Tahoma" w:cs="Tahoma"/>
                <w:bCs/>
                <w:sz w:val="16"/>
                <w:szCs w:val="16"/>
              </w:rPr>
              <w:instrText>NUMPAGES</w:instrText>
            </w:r>
            <w:r w:rsidRPr="008A1208">
              <w:rPr>
                <w:rFonts w:ascii="Tahoma" w:hAnsi="Tahoma" w:cs="Tahoma"/>
                <w:bCs/>
                <w:sz w:val="16"/>
                <w:szCs w:val="16"/>
              </w:rPr>
              <w:fldChar w:fldCharType="separate"/>
            </w:r>
            <w:r>
              <w:rPr>
                <w:rFonts w:ascii="Tahoma" w:hAnsi="Tahoma" w:cs="Tahoma"/>
                <w:bCs/>
                <w:noProof/>
                <w:sz w:val="16"/>
                <w:szCs w:val="16"/>
              </w:rPr>
              <w:t>4</w:t>
            </w:r>
            <w:r w:rsidRPr="008A1208">
              <w:rPr>
                <w:rFonts w:ascii="Tahoma" w:hAnsi="Tahoma" w:cs="Tahoma"/>
                <w:bCs/>
                <w:sz w:val="16"/>
                <w:szCs w:val="16"/>
              </w:rPr>
              <w:fldChar w:fldCharType="end"/>
            </w:r>
          </w:p>
        </w:sdtContent>
      </w:sdt>
    </w:sdtContent>
  </w:sdt>
  <w:bookmarkEnd w:id="0"/>
  <w:p w:rsidR="008A1208" w:rsidRDefault="008A120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08" w:rsidRDefault="008A120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208" w:rsidRDefault="008A1208" w:rsidP="008A1208">
      <w:pPr>
        <w:spacing w:after="0" w:line="240" w:lineRule="auto"/>
      </w:pPr>
      <w:r>
        <w:separator/>
      </w:r>
    </w:p>
  </w:footnote>
  <w:footnote w:type="continuationSeparator" w:id="0">
    <w:p w:rsidR="008A1208" w:rsidRDefault="008A1208" w:rsidP="008A1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08" w:rsidRDefault="008A120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08" w:rsidRDefault="008A120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08" w:rsidRDefault="008A120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5415C"/>
    <w:multiLevelType w:val="hybridMultilevel"/>
    <w:tmpl w:val="F32A54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B3F62D4"/>
    <w:multiLevelType w:val="hybridMultilevel"/>
    <w:tmpl w:val="610EACC4"/>
    <w:lvl w:ilvl="0" w:tplc="888AB8F0">
      <w:start w:val="1"/>
      <w:numFmt w:val="bullet"/>
      <w:lvlText w:val="-"/>
      <w:lvlJc w:val="left"/>
      <w:pPr>
        <w:ind w:left="405" w:hanging="360"/>
      </w:pPr>
      <w:rPr>
        <w:rFonts w:ascii="Calibri" w:eastAsia="Calibri" w:hAnsi="Calibri" w:hint="default"/>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05"/>
    <w:rsid w:val="000340E4"/>
    <w:rsid w:val="00183354"/>
    <w:rsid w:val="00187CEB"/>
    <w:rsid w:val="002B13F3"/>
    <w:rsid w:val="0044134B"/>
    <w:rsid w:val="00673C05"/>
    <w:rsid w:val="00700E92"/>
    <w:rsid w:val="007F58E3"/>
    <w:rsid w:val="0081184D"/>
    <w:rsid w:val="00830AEA"/>
    <w:rsid w:val="008343F2"/>
    <w:rsid w:val="008A1208"/>
    <w:rsid w:val="009C6A7B"/>
    <w:rsid w:val="00D148CD"/>
    <w:rsid w:val="00DD5191"/>
    <w:rsid w:val="00E12D53"/>
    <w:rsid w:val="00EA259D"/>
    <w:rsid w:val="00F20682"/>
    <w:rsid w:val="00F94B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799146"/>
  <w15:chartTrackingRefBased/>
  <w15:docId w15:val="{DE44DF39-A32E-4AD8-8AD5-10DA3677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73C05"/>
    <w:rPr>
      <w:color w:val="0563C1" w:themeColor="hyperlink"/>
      <w:u w:val="single"/>
    </w:rPr>
  </w:style>
  <w:style w:type="paragraph" w:styleId="Odstavekseznama">
    <w:name w:val="List Paragraph"/>
    <w:basedOn w:val="Navaden"/>
    <w:uiPriority w:val="34"/>
    <w:qFormat/>
    <w:rsid w:val="0044134B"/>
    <w:pPr>
      <w:ind w:left="720"/>
      <w:contextualSpacing/>
    </w:pPr>
  </w:style>
  <w:style w:type="paragraph" w:styleId="Glava">
    <w:name w:val="header"/>
    <w:basedOn w:val="Navaden"/>
    <w:link w:val="GlavaZnak"/>
    <w:uiPriority w:val="99"/>
    <w:unhideWhenUsed/>
    <w:rsid w:val="008A1208"/>
    <w:pPr>
      <w:tabs>
        <w:tab w:val="center" w:pos="4536"/>
        <w:tab w:val="right" w:pos="9072"/>
      </w:tabs>
      <w:spacing w:after="0" w:line="240" w:lineRule="auto"/>
    </w:pPr>
  </w:style>
  <w:style w:type="character" w:customStyle="1" w:styleId="GlavaZnak">
    <w:name w:val="Glava Znak"/>
    <w:basedOn w:val="Privzetapisavaodstavka"/>
    <w:link w:val="Glava"/>
    <w:uiPriority w:val="99"/>
    <w:rsid w:val="008A1208"/>
  </w:style>
  <w:style w:type="paragraph" w:styleId="Noga">
    <w:name w:val="footer"/>
    <w:basedOn w:val="Navaden"/>
    <w:link w:val="NogaZnak"/>
    <w:uiPriority w:val="99"/>
    <w:unhideWhenUsed/>
    <w:rsid w:val="008A1208"/>
    <w:pPr>
      <w:tabs>
        <w:tab w:val="center" w:pos="4536"/>
        <w:tab w:val="right" w:pos="9072"/>
      </w:tabs>
      <w:spacing w:after="0" w:line="240" w:lineRule="auto"/>
    </w:pPr>
  </w:style>
  <w:style w:type="character" w:customStyle="1" w:styleId="NogaZnak">
    <w:name w:val="Noga Znak"/>
    <w:basedOn w:val="Privzetapisavaodstavka"/>
    <w:link w:val="Noga"/>
    <w:uiPriority w:val="99"/>
    <w:rsid w:val="008A1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0463">
      <w:bodyDiv w:val="1"/>
      <w:marLeft w:val="0"/>
      <w:marRight w:val="0"/>
      <w:marTop w:val="0"/>
      <w:marBottom w:val="0"/>
      <w:divBdr>
        <w:top w:val="none" w:sz="0" w:space="0" w:color="auto"/>
        <w:left w:val="none" w:sz="0" w:space="0" w:color="auto"/>
        <w:bottom w:val="none" w:sz="0" w:space="0" w:color="auto"/>
        <w:right w:val="none" w:sz="0" w:space="0" w:color="auto"/>
      </w:divBdr>
    </w:div>
    <w:div w:id="805316941">
      <w:bodyDiv w:val="1"/>
      <w:marLeft w:val="0"/>
      <w:marRight w:val="0"/>
      <w:marTop w:val="0"/>
      <w:marBottom w:val="0"/>
      <w:divBdr>
        <w:top w:val="none" w:sz="0" w:space="0" w:color="auto"/>
        <w:left w:val="none" w:sz="0" w:space="0" w:color="auto"/>
        <w:bottom w:val="none" w:sz="0" w:space="0" w:color="auto"/>
        <w:right w:val="none" w:sz="0" w:space="0" w:color="auto"/>
      </w:divBdr>
    </w:div>
    <w:div w:id="871307048">
      <w:bodyDiv w:val="1"/>
      <w:marLeft w:val="0"/>
      <w:marRight w:val="0"/>
      <w:marTop w:val="0"/>
      <w:marBottom w:val="0"/>
      <w:divBdr>
        <w:top w:val="none" w:sz="0" w:space="0" w:color="auto"/>
        <w:left w:val="none" w:sz="0" w:space="0" w:color="auto"/>
        <w:bottom w:val="none" w:sz="0" w:space="0" w:color="auto"/>
        <w:right w:val="none" w:sz="0" w:space="0" w:color="auto"/>
      </w:divBdr>
    </w:div>
    <w:div w:id="940721639">
      <w:bodyDiv w:val="1"/>
      <w:marLeft w:val="0"/>
      <w:marRight w:val="0"/>
      <w:marTop w:val="0"/>
      <w:marBottom w:val="0"/>
      <w:divBdr>
        <w:top w:val="none" w:sz="0" w:space="0" w:color="auto"/>
        <w:left w:val="none" w:sz="0" w:space="0" w:color="auto"/>
        <w:bottom w:val="none" w:sz="0" w:space="0" w:color="auto"/>
        <w:right w:val="none" w:sz="0" w:space="0" w:color="auto"/>
      </w:divBdr>
    </w:div>
    <w:div w:id="1243876138">
      <w:bodyDiv w:val="1"/>
      <w:marLeft w:val="0"/>
      <w:marRight w:val="0"/>
      <w:marTop w:val="0"/>
      <w:marBottom w:val="0"/>
      <w:divBdr>
        <w:top w:val="none" w:sz="0" w:space="0" w:color="auto"/>
        <w:left w:val="none" w:sz="0" w:space="0" w:color="auto"/>
        <w:bottom w:val="none" w:sz="0" w:space="0" w:color="auto"/>
        <w:right w:val="none" w:sz="0" w:space="0" w:color="auto"/>
      </w:divBdr>
      <w:divsChild>
        <w:div w:id="1778057385">
          <w:marLeft w:val="0"/>
          <w:marRight w:val="0"/>
          <w:marTop w:val="0"/>
          <w:marBottom w:val="0"/>
          <w:divBdr>
            <w:top w:val="none" w:sz="0" w:space="0" w:color="auto"/>
            <w:left w:val="none" w:sz="0" w:space="0" w:color="auto"/>
            <w:bottom w:val="none" w:sz="0" w:space="0" w:color="auto"/>
            <w:right w:val="none" w:sz="0" w:space="0" w:color="auto"/>
          </w:divBdr>
          <w:divsChild>
            <w:div w:id="1812477211">
              <w:marLeft w:val="-225"/>
              <w:marRight w:val="-225"/>
              <w:marTop w:val="0"/>
              <w:marBottom w:val="0"/>
              <w:divBdr>
                <w:top w:val="none" w:sz="0" w:space="0" w:color="auto"/>
                <w:left w:val="none" w:sz="0" w:space="0" w:color="auto"/>
                <w:bottom w:val="none" w:sz="0" w:space="0" w:color="auto"/>
                <w:right w:val="none" w:sz="0" w:space="0" w:color="auto"/>
              </w:divBdr>
              <w:divsChild>
                <w:div w:id="738018048">
                  <w:marLeft w:val="0"/>
                  <w:marRight w:val="0"/>
                  <w:marTop w:val="0"/>
                  <w:marBottom w:val="0"/>
                  <w:divBdr>
                    <w:top w:val="none" w:sz="0" w:space="0" w:color="auto"/>
                    <w:left w:val="none" w:sz="0" w:space="0" w:color="auto"/>
                    <w:bottom w:val="none" w:sz="0" w:space="0" w:color="auto"/>
                    <w:right w:val="none" w:sz="0" w:space="0" w:color="auto"/>
                  </w:divBdr>
                  <w:divsChild>
                    <w:div w:id="1044208144">
                      <w:marLeft w:val="0"/>
                      <w:marRight w:val="0"/>
                      <w:marTop w:val="0"/>
                      <w:marBottom w:val="255"/>
                      <w:divBdr>
                        <w:top w:val="none" w:sz="0" w:space="0" w:color="auto"/>
                        <w:left w:val="none" w:sz="0" w:space="0" w:color="auto"/>
                        <w:bottom w:val="none" w:sz="0" w:space="0" w:color="auto"/>
                        <w:right w:val="none" w:sz="0" w:space="0" w:color="auto"/>
                      </w:divBdr>
                      <w:divsChild>
                        <w:div w:id="936406596">
                          <w:marLeft w:val="0"/>
                          <w:marRight w:val="0"/>
                          <w:marTop w:val="0"/>
                          <w:marBottom w:val="0"/>
                          <w:divBdr>
                            <w:top w:val="none" w:sz="0" w:space="0" w:color="auto"/>
                            <w:left w:val="none" w:sz="0" w:space="0" w:color="auto"/>
                            <w:bottom w:val="none" w:sz="0" w:space="0" w:color="auto"/>
                            <w:right w:val="none" w:sz="0" w:space="0" w:color="auto"/>
                          </w:divBdr>
                          <w:divsChild>
                            <w:div w:id="1531262729">
                              <w:marLeft w:val="-195"/>
                              <w:marRight w:val="0"/>
                              <w:marTop w:val="0"/>
                              <w:marBottom w:val="0"/>
                              <w:divBdr>
                                <w:top w:val="none" w:sz="0" w:space="0" w:color="auto"/>
                                <w:left w:val="none" w:sz="0" w:space="0" w:color="auto"/>
                                <w:bottom w:val="none" w:sz="0" w:space="0" w:color="auto"/>
                                <w:right w:val="none" w:sz="0" w:space="0" w:color="auto"/>
                              </w:divBdr>
                              <w:divsChild>
                                <w:div w:id="2140302249">
                                  <w:marLeft w:val="0"/>
                                  <w:marRight w:val="0"/>
                                  <w:marTop w:val="150"/>
                                  <w:marBottom w:val="150"/>
                                  <w:divBdr>
                                    <w:top w:val="none" w:sz="0" w:space="0" w:color="auto"/>
                                    <w:left w:val="none" w:sz="0" w:space="0" w:color="auto"/>
                                    <w:bottom w:val="none" w:sz="0" w:space="0" w:color="auto"/>
                                    <w:right w:val="none" w:sz="0" w:space="0" w:color="auto"/>
                                  </w:divBdr>
                                </w:div>
                              </w:divsChild>
                            </w:div>
                            <w:div w:id="402483736">
                              <w:marLeft w:val="-195"/>
                              <w:marRight w:val="0"/>
                              <w:marTop w:val="0"/>
                              <w:marBottom w:val="0"/>
                              <w:divBdr>
                                <w:top w:val="none" w:sz="0" w:space="0" w:color="auto"/>
                                <w:left w:val="none" w:sz="0" w:space="0" w:color="auto"/>
                                <w:bottom w:val="none" w:sz="0" w:space="0" w:color="auto"/>
                                <w:right w:val="none" w:sz="0" w:space="0" w:color="auto"/>
                              </w:divBdr>
                              <w:divsChild>
                                <w:div w:id="2118518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si/podrocja/okolje-in-prostor/nepremicnine/obrazc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1535</Words>
  <Characters>8756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Nives Nardin</dc:creator>
  <cp:keywords/>
  <dc:description/>
  <cp:lastModifiedBy>Nives Nardin</cp:lastModifiedBy>
  <cp:revision>22</cp:revision>
  <dcterms:created xsi:type="dcterms:W3CDTF">2020-10-15T07:23:00Z</dcterms:created>
  <dcterms:modified xsi:type="dcterms:W3CDTF">2020-10-15T07:45:00Z</dcterms:modified>
</cp:coreProperties>
</file>